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1FB2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DA6D39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4113A13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3EDD767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A9E9928" w14:textId="77777777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16644C2" w14:textId="77777777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14:paraId="5B68AD47" w14:textId="64D7285F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 xml:space="preserve">: 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 w:rsidR="000673CE">
        <w:rPr>
          <w:rFonts w:ascii="Times New Roman" w:hAnsi="Times New Roman"/>
          <w:b w:val="0"/>
          <w:sz w:val="28"/>
          <w:szCs w:val="28"/>
          <w:lang w:val="en-US"/>
        </w:rPr>
        <w:t>8</w:t>
      </w:r>
    </w:p>
    <w:p w14:paraId="59CC5EB9" w14:textId="77777777" w:rsidR="009D3E9E" w:rsidRPr="00467BF7" w:rsidRDefault="009D3E9E" w:rsidP="009D3E9E">
      <w:pPr>
        <w:rPr>
          <w:rFonts w:ascii="Times New Roman" w:hAnsi="Times New Roman"/>
          <w:sz w:val="22"/>
          <w:szCs w:val="22"/>
          <w:lang w:val="en-GB"/>
        </w:rPr>
      </w:pPr>
    </w:p>
    <w:p w14:paraId="2EFE9A84" w14:textId="77777777" w:rsidR="00467BF7" w:rsidRPr="00467BF7" w:rsidRDefault="00467BF7" w:rsidP="00467BF7">
      <w:pPr>
        <w:jc w:val="center"/>
        <w:rPr>
          <w:rFonts w:ascii="Times New Roman" w:hAnsi="Times New Roman"/>
          <w:sz w:val="22"/>
          <w:szCs w:val="22"/>
        </w:rPr>
      </w:pPr>
      <w:r w:rsidRPr="00467BF7">
        <w:rPr>
          <w:rFonts w:ascii="Times New Roman" w:hAnsi="Times New Roman"/>
          <w:b/>
          <w:bCs/>
          <w:i/>
          <w:iCs/>
          <w:sz w:val="22"/>
          <w:szCs w:val="22"/>
        </w:rPr>
        <w:t>LOT 1:</w:t>
      </w:r>
      <w:r w:rsidRPr="00467BF7">
        <w:rPr>
          <w:rFonts w:ascii="Times New Roman" w:hAnsi="Times New Roman"/>
          <w:sz w:val="22"/>
          <w:szCs w:val="22"/>
        </w:rPr>
        <w:t xml:space="preserve"> Supply of consumables for the Water Pollution Monitoring, the Aquatic ecosystems and the Aquaculture and Biotechnology Laboratories</w:t>
      </w:r>
    </w:p>
    <w:p w14:paraId="38CBDAB2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2EE7CD7C" w14:textId="77777777" w:rsidR="009D3E9E" w:rsidRPr="00A940DC" w:rsidRDefault="009D3E9E" w:rsidP="009D3E9E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>from the general budget of the Union</w:t>
      </w:r>
    </w:p>
    <w:p w14:paraId="5D1E8489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6CF6C02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Üniversitesi Rektörlüğü Balkan Yerleşkesi 22030 Edirne, Türkiye</w:t>
      </w:r>
    </w:p>
    <w:p w14:paraId="0E6F8CAE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Atilgan </w:t>
      </w:r>
    </w:p>
    <w:p w14:paraId="5B6724FE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F031352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408EB9B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54389B3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3B06838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3F184E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6383583E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0DD3EA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2BA723B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5BCECD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BD5EE4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92347A0" w14:textId="534542EE" w:rsidR="00CD243E" w:rsidRPr="009D3E9E" w:rsidRDefault="00CD243E" w:rsidP="009D3E9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D3E9E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571BA582" w14:textId="4AD2D181" w:rsidR="009D3E9E" w:rsidRDefault="009D3E9E" w:rsidP="009D3E9E">
      <w:pPr>
        <w:spacing w:before="240" w:after="0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6308CA">
        <w:rPr>
          <w:rFonts w:ascii="Times New Roman" w:hAnsi="Times New Roman"/>
          <w:b/>
          <w:sz w:val="28"/>
          <w:szCs w:val="28"/>
          <w:lang w:val="en-US"/>
        </w:rPr>
        <w:lastRenderedPageBreak/>
        <w:t>CONTRACT TITLE</w:t>
      </w:r>
      <w:r w:rsidR="00B80A0C">
        <w:rPr>
          <w:rFonts w:ascii="Times New Roman" w:hAnsi="Times New Roman"/>
          <w:b/>
          <w:sz w:val="28"/>
          <w:szCs w:val="28"/>
          <w:lang w:val="en-US"/>
        </w:rPr>
        <w:t xml:space="preserve">: </w:t>
      </w:r>
      <w:r w:rsidR="000673CE" w:rsidRPr="000673CE">
        <w:rPr>
          <w:rFonts w:ascii="Times New Roman" w:hAnsi="Times New Roman"/>
          <w:b/>
          <w:bCs/>
          <w:sz w:val="28"/>
          <w:szCs w:val="28"/>
          <w:lang w:val="en-US"/>
        </w:rPr>
        <w:t>Invitation to tender for “</w:t>
      </w:r>
      <w:r w:rsidR="000673CE" w:rsidRPr="000673CE">
        <w:rPr>
          <w:rFonts w:ascii="Times New Roman" w:hAnsi="Times New Roman"/>
          <w:b/>
          <w:bCs/>
          <w:color w:val="000000"/>
          <w:sz w:val="28"/>
          <w:szCs w:val="28"/>
        </w:rPr>
        <w:t>Supply of consumables for the purposes of the scientific laboratories of the BLUE GROWTH Research centre at Trakya University of Edirne</w:t>
      </w:r>
      <w:r w:rsidR="000673CE" w:rsidRPr="000673CE">
        <w:rPr>
          <w:rFonts w:ascii="Times New Roman" w:hAnsi="Times New Roman"/>
          <w:b/>
          <w:bCs/>
          <w:sz w:val="28"/>
          <w:szCs w:val="28"/>
          <w:lang w:val="en-US"/>
        </w:rPr>
        <w:t>”</w:t>
      </w:r>
    </w:p>
    <w:p w14:paraId="1E23B638" w14:textId="49E21646" w:rsidR="00467BF7" w:rsidRPr="00467BF7" w:rsidRDefault="00467BF7" w:rsidP="00467BF7">
      <w:pPr>
        <w:jc w:val="center"/>
        <w:rPr>
          <w:rFonts w:ascii="Times New Roman" w:hAnsi="Times New Roman"/>
          <w:sz w:val="22"/>
          <w:szCs w:val="22"/>
        </w:rPr>
      </w:pPr>
      <w:r w:rsidRPr="00467BF7">
        <w:rPr>
          <w:rFonts w:ascii="Times New Roman" w:hAnsi="Times New Roman"/>
          <w:b/>
          <w:bCs/>
          <w:i/>
          <w:iCs/>
          <w:sz w:val="22"/>
          <w:szCs w:val="22"/>
        </w:rPr>
        <w:t>LOT 1:</w:t>
      </w:r>
      <w:r w:rsidRPr="00467BF7">
        <w:rPr>
          <w:rFonts w:ascii="Times New Roman" w:hAnsi="Times New Roman"/>
          <w:sz w:val="22"/>
          <w:szCs w:val="22"/>
        </w:rPr>
        <w:t xml:space="preserve"> Supply of consumables for the Water Pollution Monitoring, the Aquatic ecosystems and the Aquaculture and Biotechnology Laboratories</w:t>
      </w:r>
    </w:p>
    <w:p w14:paraId="5AA93F8C" w14:textId="6CBF5382" w:rsidR="009D3E9E" w:rsidRPr="006308CA" w:rsidRDefault="009D3E9E" w:rsidP="009D3E9E">
      <w:pPr>
        <w:spacing w:before="240" w:after="240"/>
        <w:jc w:val="center"/>
        <w:rPr>
          <w:rFonts w:ascii="Times New Roman" w:hAnsi="Times New Roman"/>
          <w:b/>
          <w:sz w:val="22"/>
          <w:szCs w:val="22"/>
          <w:lang w:val="en-US"/>
        </w:rPr>
      </w:pPr>
      <w:r w:rsidRPr="006308CA">
        <w:rPr>
          <w:rFonts w:ascii="Times New Roman" w:hAnsi="Times New Roman"/>
          <w:b/>
          <w:sz w:val="22"/>
          <w:szCs w:val="22"/>
          <w:lang w:val="en-US"/>
        </w:rPr>
        <w:t xml:space="preserve">Identification number </w:t>
      </w:r>
      <w:r w:rsidRPr="006308CA">
        <w:rPr>
          <w:rFonts w:ascii="Times New Roman" w:hAnsi="Times New Roman"/>
          <w:sz w:val="22"/>
          <w:szCs w:val="22"/>
          <w:lang w:val="en-US"/>
        </w:rPr>
        <w:t xml:space="preserve">CB005.3.12.001 –PP2 – Supply </w:t>
      </w:r>
      <w:r w:rsidR="000673CE">
        <w:rPr>
          <w:rFonts w:ascii="Times New Roman" w:hAnsi="Times New Roman"/>
          <w:sz w:val="22"/>
          <w:szCs w:val="22"/>
          <w:lang w:val="en-US"/>
        </w:rPr>
        <w:t>8</w:t>
      </w:r>
    </w:p>
    <w:p w14:paraId="39E3C111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17278AC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F8C53F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D44A57B" w14:textId="13A93AA5" w:rsidR="009D3E9E" w:rsidRPr="006308CA" w:rsidRDefault="004D2FD8" w:rsidP="002E76E9">
      <w:pPr>
        <w:spacing w:before="0" w:after="0"/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9D3E9E" w:rsidRPr="006308CA">
        <w:rPr>
          <w:rFonts w:ascii="Times New Roman" w:hAnsi="Times New Roman"/>
          <w:sz w:val="22"/>
          <w:szCs w:val="22"/>
          <w:lang w:val="en-US"/>
        </w:rPr>
        <w:t>the delivery of the following supplies:</w:t>
      </w:r>
    </w:p>
    <w:tbl>
      <w:tblPr>
        <w:tblW w:w="8588" w:type="dxa"/>
        <w:jc w:val="center"/>
        <w:tblLayout w:type="fixed"/>
        <w:tblLook w:val="0400" w:firstRow="0" w:lastRow="0" w:firstColumn="0" w:lastColumn="0" w:noHBand="0" w:noVBand="1"/>
      </w:tblPr>
      <w:tblGrid>
        <w:gridCol w:w="19"/>
        <w:gridCol w:w="1011"/>
        <w:gridCol w:w="14"/>
        <w:gridCol w:w="4588"/>
        <w:gridCol w:w="1777"/>
        <w:gridCol w:w="14"/>
        <w:gridCol w:w="1155"/>
        <w:gridCol w:w="10"/>
      </w:tblGrid>
      <w:tr w:rsidR="002E76E9" w14:paraId="048C72F7" w14:textId="77777777" w:rsidTr="002E76E9">
        <w:trPr>
          <w:gridAfter w:val="1"/>
          <w:wAfter w:w="10" w:type="dxa"/>
          <w:trHeight w:val="845"/>
          <w:jc w:val="center"/>
        </w:trPr>
        <w:tc>
          <w:tcPr>
            <w:tcW w:w="1030" w:type="dxa"/>
            <w:gridSpan w:val="2"/>
            <w:shd w:val="clear" w:color="auto" w:fill="F2F2F2"/>
          </w:tcPr>
          <w:p w14:paraId="3D8D3088" w14:textId="77777777" w:rsidR="00DF3298" w:rsidRDefault="00DF3298" w:rsidP="000A347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Item Number</w:t>
            </w:r>
          </w:p>
        </w:tc>
        <w:tc>
          <w:tcPr>
            <w:tcW w:w="4602" w:type="dxa"/>
            <w:gridSpan w:val="2"/>
            <w:shd w:val="clear" w:color="auto" w:fill="F2F2F2"/>
          </w:tcPr>
          <w:p w14:paraId="6C8BAADE" w14:textId="77777777" w:rsidR="00DF3298" w:rsidRDefault="00DF3298" w:rsidP="000A347D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Item</w:t>
            </w:r>
          </w:p>
        </w:tc>
        <w:tc>
          <w:tcPr>
            <w:tcW w:w="1777" w:type="dxa"/>
            <w:shd w:val="clear" w:color="auto" w:fill="F2F2F2"/>
          </w:tcPr>
          <w:p w14:paraId="2A87E73E" w14:textId="77777777" w:rsidR="00DF3298" w:rsidRDefault="00DF3298" w:rsidP="000A347D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169" w:type="dxa"/>
            <w:gridSpan w:val="2"/>
            <w:shd w:val="clear" w:color="auto" w:fill="F2F2F2"/>
          </w:tcPr>
          <w:p w14:paraId="45270235" w14:textId="787E90DA" w:rsidR="00DF3298" w:rsidRDefault="00DF3298" w:rsidP="000A347D">
            <w:pP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 of Units</w:t>
            </w:r>
          </w:p>
        </w:tc>
      </w:tr>
      <w:tr w:rsidR="002E76E9" w14:paraId="0B8E0800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1B231AB1" w14:textId="77777777" w:rsidR="00DF3298" w:rsidRDefault="00DF3298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588" w:type="dxa"/>
          </w:tcPr>
          <w:p w14:paraId="2CC3AB2E" w14:textId="1861A470" w:rsidR="00DF3298" w:rsidRDefault="00EF30BC" w:rsidP="000A347D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Filters</w:t>
            </w:r>
          </w:p>
        </w:tc>
        <w:tc>
          <w:tcPr>
            <w:tcW w:w="1791" w:type="dxa"/>
            <w:gridSpan w:val="2"/>
          </w:tcPr>
          <w:p w14:paraId="4E55B91D" w14:textId="3057C369" w:rsidR="00DF3298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set</w:t>
            </w:r>
          </w:p>
        </w:tc>
        <w:tc>
          <w:tcPr>
            <w:tcW w:w="1165" w:type="dxa"/>
            <w:gridSpan w:val="2"/>
            <w:vAlign w:val="center"/>
          </w:tcPr>
          <w:p w14:paraId="698AC3FF" w14:textId="0FE3E0D9" w:rsidR="00DF3298" w:rsidRDefault="00DF3298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0C6D0B0C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44E6FA3B" w14:textId="4E4D9011" w:rsidR="00EF30BC" w:rsidRDefault="00EF30BC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588" w:type="dxa"/>
          </w:tcPr>
          <w:p w14:paraId="6C1A714A" w14:textId="6A184AFD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 xml:space="preserve">Mebrane filters Nitrocellulose dimension of pores 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0,45µm (set of 100 pieces)</w:t>
            </w:r>
          </w:p>
        </w:tc>
        <w:tc>
          <w:tcPr>
            <w:tcW w:w="1791" w:type="dxa"/>
            <w:gridSpan w:val="2"/>
          </w:tcPr>
          <w:p w14:paraId="4D790524" w14:textId="11D30435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set</w:t>
            </w:r>
          </w:p>
        </w:tc>
        <w:tc>
          <w:tcPr>
            <w:tcW w:w="1165" w:type="dxa"/>
            <w:gridSpan w:val="2"/>
            <w:vAlign w:val="center"/>
          </w:tcPr>
          <w:p w14:paraId="36C7073A" w14:textId="687FEE09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2E76E9" w14:paraId="7FBCEC46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06A30DEB" w14:textId="136B7023" w:rsidR="00EF30BC" w:rsidRDefault="00EF30BC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588" w:type="dxa"/>
          </w:tcPr>
          <w:p w14:paraId="38599A08" w14:textId="1BB9AB1C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 for keeping samples- bottles</w:t>
            </w:r>
          </w:p>
        </w:tc>
        <w:tc>
          <w:tcPr>
            <w:tcW w:w="1791" w:type="dxa"/>
            <w:gridSpan w:val="2"/>
          </w:tcPr>
          <w:p w14:paraId="6076FE72" w14:textId="3AD6017D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165" w:type="dxa"/>
            <w:gridSpan w:val="2"/>
            <w:vAlign w:val="center"/>
          </w:tcPr>
          <w:p w14:paraId="500C3793" w14:textId="12215913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30</w:t>
            </w:r>
          </w:p>
        </w:tc>
      </w:tr>
      <w:tr w:rsidR="002E76E9" w14:paraId="64A9ADA4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0E604302" w14:textId="5C7764E9" w:rsidR="00EF30BC" w:rsidRDefault="00EF30BC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588" w:type="dxa"/>
          </w:tcPr>
          <w:p w14:paraId="1DF76837" w14:textId="65CAE40E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 for keeping samples- bags</w:t>
            </w:r>
          </w:p>
        </w:tc>
        <w:tc>
          <w:tcPr>
            <w:tcW w:w="1791" w:type="dxa"/>
            <w:gridSpan w:val="2"/>
          </w:tcPr>
          <w:p w14:paraId="3765BA35" w14:textId="72B21886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165" w:type="dxa"/>
            <w:gridSpan w:val="2"/>
            <w:vAlign w:val="center"/>
          </w:tcPr>
          <w:p w14:paraId="54A54DE2" w14:textId="3563C132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5</w:t>
            </w:r>
          </w:p>
        </w:tc>
      </w:tr>
      <w:tr w:rsidR="002E76E9" w14:paraId="7C0420F1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2122C333" w14:textId="4570A554" w:rsidR="00EF30BC" w:rsidRDefault="00EF30BC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588" w:type="dxa"/>
          </w:tcPr>
          <w:p w14:paraId="4DA74D6C" w14:textId="28512CF7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Glass ware</w:t>
            </w:r>
          </w:p>
        </w:tc>
        <w:tc>
          <w:tcPr>
            <w:tcW w:w="1791" w:type="dxa"/>
            <w:gridSpan w:val="2"/>
          </w:tcPr>
          <w:p w14:paraId="26521688" w14:textId="7DD4C8DD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set</w:t>
            </w:r>
          </w:p>
        </w:tc>
        <w:tc>
          <w:tcPr>
            <w:tcW w:w="1165" w:type="dxa"/>
            <w:gridSpan w:val="2"/>
            <w:vAlign w:val="center"/>
          </w:tcPr>
          <w:p w14:paraId="36372145" w14:textId="672AB57A" w:rsidR="00EF30BC" w:rsidRDefault="00EF30BC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4875E897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1A58421B" w14:textId="6C4E07B8" w:rsidR="00EF30BC" w:rsidRDefault="00EF30BC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588" w:type="dxa"/>
          </w:tcPr>
          <w:p w14:paraId="46ECD35C" w14:textId="672D471C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Reagents</w:t>
            </w:r>
          </w:p>
        </w:tc>
        <w:tc>
          <w:tcPr>
            <w:tcW w:w="1791" w:type="dxa"/>
            <w:gridSpan w:val="2"/>
          </w:tcPr>
          <w:p w14:paraId="06754A31" w14:textId="11BD6CAB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set</w:t>
            </w:r>
          </w:p>
        </w:tc>
        <w:tc>
          <w:tcPr>
            <w:tcW w:w="1165" w:type="dxa"/>
            <w:gridSpan w:val="2"/>
            <w:vAlign w:val="center"/>
          </w:tcPr>
          <w:p w14:paraId="5CABDE24" w14:textId="2AFE90DF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5B89F84E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198F02C0" w14:textId="31CF2F84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588" w:type="dxa"/>
          </w:tcPr>
          <w:p w14:paraId="1E6937E0" w14:textId="11647BC5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Argon Gas Cylinder</w:t>
            </w:r>
          </w:p>
        </w:tc>
        <w:tc>
          <w:tcPr>
            <w:tcW w:w="1791" w:type="dxa"/>
            <w:gridSpan w:val="2"/>
          </w:tcPr>
          <w:p w14:paraId="459141B9" w14:textId="24AA1D40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165" w:type="dxa"/>
            <w:gridSpan w:val="2"/>
            <w:vAlign w:val="center"/>
          </w:tcPr>
          <w:p w14:paraId="70933CA2" w14:textId="2D30D5E6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2</w:t>
            </w:r>
          </w:p>
        </w:tc>
      </w:tr>
      <w:tr w:rsidR="002E76E9" w14:paraId="06DD212A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11585ACC" w14:textId="745EA73A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588" w:type="dxa"/>
          </w:tcPr>
          <w:p w14:paraId="05A00347" w14:textId="26F11D53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Helium Gas Cylinder</w:t>
            </w:r>
          </w:p>
        </w:tc>
        <w:tc>
          <w:tcPr>
            <w:tcW w:w="1791" w:type="dxa"/>
            <w:gridSpan w:val="2"/>
          </w:tcPr>
          <w:p w14:paraId="66AA72FD" w14:textId="58E3E3A6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165" w:type="dxa"/>
            <w:gridSpan w:val="2"/>
            <w:vAlign w:val="center"/>
          </w:tcPr>
          <w:p w14:paraId="340A3697" w14:textId="39A14287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064F58CF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65711355" w14:textId="6E4258D3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588" w:type="dxa"/>
          </w:tcPr>
          <w:p w14:paraId="3DFF9E76" w14:textId="61DE8CBA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Nitrogen Gas Cylinder</w:t>
            </w:r>
          </w:p>
        </w:tc>
        <w:tc>
          <w:tcPr>
            <w:tcW w:w="1791" w:type="dxa"/>
            <w:gridSpan w:val="2"/>
          </w:tcPr>
          <w:p w14:paraId="126EF501" w14:textId="56D258E5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number</w:t>
            </w:r>
          </w:p>
        </w:tc>
        <w:tc>
          <w:tcPr>
            <w:tcW w:w="1165" w:type="dxa"/>
            <w:gridSpan w:val="2"/>
            <w:vAlign w:val="center"/>
          </w:tcPr>
          <w:p w14:paraId="45B9DC90" w14:textId="5EA92E1E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3DE7133D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017718C4" w14:textId="4BA486CF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588" w:type="dxa"/>
          </w:tcPr>
          <w:p w14:paraId="50FDBB2B" w14:textId="1C683A91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 for chromatographic and spectrophotometric analysis</w:t>
            </w:r>
          </w:p>
        </w:tc>
        <w:tc>
          <w:tcPr>
            <w:tcW w:w="1791" w:type="dxa"/>
            <w:gridSpan w:val="2"/>
          </w:tcPr>
          <w:p w14:paraId="310241A8" w14:textId="7A8F88C3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set</w:t>
            </w:r>
          </w:p>
        </w:tc>
        <w:tc>
          <w:tcPr>
            <w:tcW w:w="1165" w:type="dxa"/>
            <w:gridSpan w:val="2"/>
            <w:vAlign w:val="center"/>
          </w:tcPr>
          <w:p w14:paraId="3E9D9197" w14:textId="6F7EA2D6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440306C4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38953185" w14:textId="540DEBF8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4588" w:type="dxa"/>
          </w:tcPr>
          <w:p w14:paraId="4E999B86" w14:textId="7E639659" w:rsidR="00EF30BC" w:rsidRDefault="00EF30BC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 for collecting and keeping samples</w:t>
            </w:r>
          </w:p>
        </w:tc>
        <w:tc>
          <w:tcPr>
            <w:tcW w:w="1791" w:type="dxa"/>
            <w:gridSpan w:val="2"/>
          </w:tcPr>
          <w:p w14:paraId="75F04635" w14:textId="6EF8C771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set</w:t>
            </w:r>
          </w:p>
        </w:tc>
        <w:tc>
          <w:tcPr>
            <w:tcW w:w="1165" w:type="dxa"/>
            <w:gridSpan w:val="2"/>
            <w:vAlign w:val="center"/>
          </w:tcPr>
          <w:p w14:paraId="1DC259FD" w14:textId="590820A0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7C83B853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4D082535" w14:textId="036291B1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4588" w:type="dxa"/>
          </w:tcPr>
          <w:p w14:paraId="4C884DED" w14:textId="560EE515" w:rsidR="00EF30BC" w:rsidRDefault="002E76E9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 for ICP</w:t>
            </w:r>
          </w:p>
        </w:tc>
        <w:tc>
          <w:tcPr>
            <w:tcW w:w="1791" w:type="dxa"/>
            <w:gridSpan w:val="2"/>
          </w:tcPr>
          <w:p w14:paraId="2422579D" w14:textId="0B4269EE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As per specifications</w:t>
            </w:r>
          </w:p>
        </w:tc>
        <w:tc>
          <w:tcPr>
            <w:tcW w:w="1165" w:type="dxa"/>
            <w:gridSpan w:val="2"/>
            <w:vAlign w:val="center"/>
          </w:tcPr>
          <w:p w14:paraId="5487E5B2" w14:textId="0F3F3EBD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2E76E9" w14:paraId="0CC8161A" w14:textId="77777777" w:rsidTr="002E76E9">
        <w:trPr>
          <w:gridBefore w:val="1"/>
          <w:wBefore w:w="19" w:type="dxa"/>
          <w:trHeight w:val="248"/>
          <w:jc w:val="center"/>
        </w:trPr>
        <w:tc>
          <w:tcPr>
            <w:tcW w:w="1025" w:type="dxa"/>
            <w:gridSpan w:val="2"/>
          </w:tcPr>
          <w:p w14:paraId="0C586185" w14:textId="413FBE19" w:rsidR="00EF30BC" w:rsidRDefault="002E76E9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  <w:r w:rsidR="00467BF7"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588" w:type="dxa"/>
          </w:tcPr>
          <w:p w14:paraId="35A1E7DC" w14:textId="0C33945B" w:rsidR="00EF30BC" w:rsidRDefault="002E76E9" w:rsidP="00EF30BC">
            <w:pPr>
              <w:spacing w:before="0" w:after="0"/>
              <w:rPr>
                <w:rFonts w:ascii="Times New Roman" w:hAnsi="Times New Roman"/>
                <w:b/>
                <w:snapToGrid/>
                <w:color w:val="000000"/>
                <w:sz w:val="22"/>
                <w:szCs w:val="22"/>
                <w:lang w:val="tr-TR" w:eastAsia="tr-TR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shd w:val="clear" w:color="auto" w:fill="FFFFFF"/>
              </w:rPr>
              <w:t>Consumables for Polymer analysis</w:t>
            </w:r>
          </w:p>
        </w:tc>
        <w:tc>
          <w:tcPr>
            <w:tcW w:w="1791" w:type="dxa"/>
            <w:gridSpan w:val="2"/>
          </w:tcPr>
          <w:p w14:paraId="1F48B3C6" w14:textId="4F0695DC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As per specifications</w:t>
            </w:r>
          </w:p>
        </w:tc>
        <w:tc>
          <w:tcPr>
            <w:tcW w:w="1165" w:type="dxa"/>
            <w:gridSpan w:val="2"/>
            <w:vAlign w:val="center"/>
          </w:tcPr>
          <w:p w14:paraId="43256608" w14:textId="7CFCF8DB" w:rsidR="00EF30BC" w:rsidRDefault="002E76E9" w:rsidP="002E76E9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  <w:lang w:val="en-US"/>
              </w:rPr>
              <w:t>1</w:t>
            </w:r>
          </w:p>
        </w:tc>
      </w:tr>
    </w:tbl>
    <w:p w14:paraId="496B29A4" w14:textId="77777777" w:rsidR="009D3E9E" w:rsidRDefault="009D3E9E" w:rsidP="009D3E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D90F875" w14:textId="77777777" w:rsidR="009D3E9E" w:rsidRDefault="009D3E9E" w:rsidP="009D3E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3EA354B" w14:textId="77777777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The place of acceptance of the supplies shall be “Trakya University </w:t>
      </w:r>
    </w:p>
    <w:p w14:paraId="5B0B53E3" w14:textId="665E3F33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Address: Trakya Üniversitesi Rektörlüğü Balkan Yerleşkesi 22030 Edirne, Turkey, the time limits for delivery shall be</w:t>
      </w:r>
      <w:r w:rsidR="00AD7E18">
        <w:rPr>
          <w:rFonts w:ascii="Times New Roman" w:hAnsi="Times New Roman"/>
          <w:sz w:val="22"/>
          <w:szCs w:val="22"/>
          <w:lang w:val="en-US"/>
        </w:rPr>
        <w:t xml:space="preserve"> 90 days</w:t>
      </w:r>
      <w:r w:rsidRPr="006308CA">
        <w:rPr>
          <w:rFonts w:ascii="Times New Roman" w:hAnsi="Times New Roman"/>
          <w:sz w:val="22"/>
          <w:szCs w:val="22"/>
          <w:lang w:val="en-US"/>
        </w:rPr>
        <w:t xml:space="preserve"> and the Incoterm applicable shall be [DDP]</w:t>
      </w:r>
      <w:r w:rsidRPr="006308CA">
        <w:rPr>
          <w:rFonts w:ascii="Times New Roman" w:hAnsi="Times New Roman"/>
          <w:sz w:val="22"/>
          <w:szCs w:val="22"/>
          <w:vertAlign w:val="superscript"/>
          <w:lang w:val="en-US"/>
        </w:rPr>
        <w:footnoteReference w:id="4"/>
      </w:r>
      <w:r w:rsidRPr="006308CA">
        <w:rPr>
          <w:rFonts w:ascii="Times New Roman" w:hAnsi="Times New Roman"/>
          <w:sz w:val="22"/>
          <w:szCs w:val="22"/>
          <w:lang w:val="en-US"/>
        </w:rPr>
        <w:t>. The implementation period of tasks shall run from date of signature of the contract by parties to date for provisional acceptance.</w:t>
      </w:r>
    </w:p>
    <w:p w14:paraId="6E4FCFDA" w14:textId="3852C6D8" w:rsidR="004D2FD8" w:rsidRPr="009B30FB" w:rsidRDefault="004D2FD8" w:rsidP="009D3E9E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6E5C30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778901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73C3E9C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4D3ABD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17F78B1" w14:textId="632E81D5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9D3E9E" w:rsidRPr="009D3E9E">
        <w:rPr>
          <w:rFonts w:ascii="Times New Roman" w:hAnsi="Times New Roman"/>
          <w:sz w:val="22"/>
          <w:lang w:val="en-GB"/>
        </w:rPr>
        <w:t>……..</w:t>
      </w:r>
      <w:r w:rsidR="001E684B" w:rsidRPr="009D3E9E">
        <w:rPr>
          <w:rFonts w:ascii="Times New Roman" w:hAnsi="Times New Roman"/>
          <w:sz w:val="22"/>
          <w:lang w:val="en-GB"/>
        </w:rPr>
        <w:t>EUR</w:t>
      </w:r>
      <w:r w:rsidR="009D3E9E" w:rsidRPr="009D3E9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72460B52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42D2D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43CD94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34E78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contract agreement;</w:t>
      </w:r>
    </w:p>
    <w:p w14:paraId="031603F3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special conditions</w:t>
      </w:r>
    </w:p>
    <w:p w14:paraId="7EA2372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general conditions (Annex I);</w:t>
      </w:r>
    </w:p>
    <w:p w14:paraId="302A9DA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technical specifications (Annex II [including clarifications before the deadline for submission of tenders and minutes from the information meeting/site visit];</w:t>
      </w:r>
    </w:p>
    <w:p w14:paraId="6DEEC8FC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technical offer (Annex III [including clarifications from the tenderer provided during tender evaluation]);</w:t>
      </w:r>
    </w:p>
    <w:p w14:paraId="7CA16A0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budget breakdown (Annex IV);</w:t>
      </w:r>
    </w:p>
    <w:p w14:paraId="576D5965" w14:textId="77777777" w:rsidR="009D3E9E" w:rsidRPr="006308CA" w:rsidRDefault="009D3E9E" w:rsidP="009D3E9E">
      <w:pPr>
        <w:numPr>
          <w:ilvl w:val="0"/>
          <w:numId w:val="41"/>
        </w:numPr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[specified forms and other relevant documents (Annex V)];</w:t>
      </w:r>
    </w:p>
    <w:p w14:paraId="77DFDE8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269A721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EBEB50C" w14:textId="2FB83FEF" w:rsidR="009D3E9E" w:rsidRPr="009D3E9E" w:rsidRDefault="009D3E9E" w:rsidP="009D3E9E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D65514">
        <w:rPr>
          <w:rFonts w:ascii="Times New Roman" w:hAnsi="Times New Roman"/>
          <w:sz w:val="22"/>
          <w:szCs w:val="22"/>
          <w:lang w:val="en-US"/>
        </w:rPr>
        <w:t>The visibility rules for EU financed projects shall be respected by the Contractor, according to the guidelines of the European Commission and the Managing Authority of the Interreg-IPA Cross-border Cooperation Bulgaria-Turkey Programme.</w:t>
      </w:r>
    </w:p>
    <w:p w14:paraId="05346867" w14:textId="77777777" w:rsidR="009D3E9E" w:rsidRPr="006308CA" w:rsidRDefault="009D3E9E" w:rsidP="009D3E9E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Done in English in two originals, one original being for the contracting authority and one original being for the contractor.</w:t>
      </w:r>
    </w:p>
    <w:p w14:paraId="09ED1103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68D6240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6B265D9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4FA13CA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912026E" w14:textId="77777777" w:rsidTr="00514BE0">
        <w:trPr>
          <w:cantSplit/>
          <w:trHeight w:val="555"/>
        </w:trPr>
        <w:tc>
          <w:tcPr>
            <w:tcW w:w="1985" w:type="dxa"/>
          </w:tcPr>
          <w:p w14:paraId="7A3196E7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B7725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4D7937E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D4206F6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B9FBEC7" w14:textId="77777777" w:rsidTr="00514BE0">
        <w:trPr>
          <w:cantSplit/>
          <w:trHeight w:val="577"/>
        </w:trPr>
        <w:tc>
          <w:tcPr>
            <w:tcW w:w="1985" w:type="dxa"/>
          </w:tcPr>
          <w:p w14:paraId="52F4017D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E9F5D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894CB7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50DC0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215C053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800A72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1D662B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0E566A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91924" w14:textId="77777777" w:rsidTr="00514BE0">
        <w:trPr>
          <w:cantSplit/>
          <w:trHeight w:val="878"/>
        </w:trPr>
        <w:tc>
          <w:tcPr>
            <w:tcW w:w="1985" w:type="dxa"/>
          </w:tcPr>
          <w:p w14:paraId="7A66B54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454E9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AE4E2F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9E46EC7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B7AC01A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F28904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23467F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F86071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3CBB1D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872318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FE349F6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17E048C" w14:textId="77777777" w:rsidTr="00514BE0">
        <w:trPr>
          <w:cantSplit/>
          <w:trHeight w:val="428"/>
        </w:trPr>
        <w:tc>
          <w:tcPr>
            <w:tcW w:w="1985" w:type="dxa"/>
          </w:tcPr>
          <w:p w14:paraId="15664B7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0695EA9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6131B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CBE104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834DD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24EB14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FF4187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25C142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3E441B0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0B3B" w14:textId="77777777" w:rsidR="009576EE" w:rsidRDefault="009576EE">
      <w:r>
        <w:separator/>
      </w:r>
    </w:p>
    <w:p w14:paraId="7BC8B07E" w14:textId="77777777" w:rsidR="009576EE" w:rsidRDefault="009576EE"/>
  </w:endnote>
  <w:endnote w:type="continuationSeparator" w:id="0">
    <w:p w14:paraId="5D97DF95" w14:textId="77777777" w:rsidR="009576EE" w:rsidRDefault="009576EE">
      <w:r>
        <w:continuationSeparator/>
      </w:r>
    </w:p>
    <w:p w14:paraId="26692D73" w14:textId="77777777" w:rsidR="009576EE" w:rsidRDefault="009576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5125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781F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06891CA6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E23A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278C727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34482" w14:textId="77777777" w:rsidR="009576EE" w:rsidRDefault="009576EE" w:rsidP="008056C4">
      <w:pPr>
        <w:spacing w:before="0" w:after="0"/>
      </w:pPr>
      <w:r>
        <w:separator/>
      </w:r>
    </w:p>
  </w:footnote>
  <w:footnote w:type="continuationSeparator" w:id="0">
    <w:p w14:paraId="0B08F5EC" w14:textId="77777777" w:rsidR="009576EE" w:rsidRDefault="009576EE">
      <w:r>
        <w:continuationSeparator/>
      </w:r>
    </w:p>
    <w:p w14:paraId="71CF0A1D" w14:textId="77777777" w:rsidR="009576EE" w:rsidRDefault="009576EE"/>
  </w:footnote>
  <w:footnote w:id="1">
    <w:p w14:paraId="6EA4A8F6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DF2E74B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AA000E3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C9E1CE8" w14:textId="77777777" w:rsidR="009D3E9E" w:rsidRDefault="009D3E9E" w:rsidP="009D3E9E">
      <w:pPr>
        <w:pBdr>
          <w:top w:val="nil"/>
          <w:left w:val="nil"/>
          <w:bottom w:val="nil"/>
          <w:right w:val="nil"/>
          <w:between w:val="nil"/>
        </w:pBdr>
        <w:spacing w:before="0"/>
        <w:ind w:left="142" w:hanging="142"/>
        <w:rPr>
          <w:rFonts w:ascii="Times New Roman" w:hAnsi="Times New Roman"/>
          <w:color w:val="000000"/>
        </w:rPr>
      </w:pPr>
      <w:r>
        <w:rPr>
          <w:rStyle w:val="DipnotBavurusu"/>
        </w:rPr>
        <w:footnoteRef/>
      </w:r>
      <w:r>
        <w:rPr>
          <w:rFonts w:ascii="Times New Roman" w:hAnsi="Times New Roman"/>
          <w:color w:val="000000"/>
        </w:rPr>
        <w:tab/>
        <w:t>&lt;DDP (Delivered Duty Paid)&gt;/&lt;DAP (Delivered At Place)&gt;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</w:rPr>
        <w:t xml:space="preserve">- Incoterms 2020 International Chamber of Commerce - </w:t>
      </w:r>
      <w:hyperlink r:id="rId1">
        <w:r>
          <w:rPr>
            <w:rFonts w:ascii="Times New Roman" w:hAnsi="Times New Roman"/>
            <w:color w:val="0000FF"/>
            <w:u w:val="single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87C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A4B4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7E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5637DC"/>
    <w:multiLevelType w:val="multilevel"/>
    <w:tmpl w:val="4D6EE304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36910854">
    <w:abstractNumId w:val="7"/>
  </w:num>
  <w:num w:numId="2" w16cid:durableId="418213641">
    <w:abstractNumId w:val="33"/>
  </w:num>
  <w:num w:numId="3" w16cid:durableId="311178343">
    <w:abstractNumId w:val="6"/>
  </w:num>
  <w:num w:numId="4" w16cid:durableId="920019756">
    <w:abstractNumId w:val="26"/>
  </w:num>
  <w:num w:numId="5" w16cid:durableId="2003310158">
    <w:abstractNumId w:val="22"/>
  </w:num>
  <w:num w:numId="6" w16cid:durableId="704334989">
    <w:abstractNumId w:val="16"/>
  </w:num>
  <w:num w:numId="7" w16cid:durableId="847254408">
    <w:abstractNumId w:val="14"/>
  </w:num>
  <w:num w:numId="8" w16cid:durableId="326134810">
    <w:abstractNumId w:val="21"/>
  </w:num>
  <w:num w:numId="9" w16cid:durableId="1920021731">
    <w:abstractNumId w:val="41"/>
  </w:num>
  <w:num w:numId="10" w16cid:durableId="1727294304">
    <w:abstractNumId w:val="10"/>
  </w:num>
  <w:num w:numId="11" w16cid:durableId="2140494179">
    <w:abstractNumId w:val="11"/>
  </w:num>
  <w:num w:numId="12" w16cid:durableId="856430595">
    <w:abstractNumId w:val="12"/>
  </w:num>
  <w:num w:numId="13" w16cid:durableId="2028174919">
    <w:abstractNumId w:val="25"/>
  </w:num>
  <w:num w:numId="14" w16cid:durableId="1251354797">
    <w:abstractNumId w:val="30"/>
  </w:num>
  <w:num w:numId="15" w16cid:durableId="1631133334">
    <w:abstractNumId w:val="35"/>
  </w:num>
  <w:num w:numId="16" w16cid:durableId="1048069964">
    <w:abstractNumId w:val="8"/>
  </w:num>
  <w:num w:numId="17" w16cid:durableId="1083065964">
    <w:abstractNumId w:val="20"/>
  </w:num>
  <w:num w:numId="18" w16cid:durableId="1439327479">
    <w:abstractNumId w:val="24"/>
  </w:num>
  <w:num w:numId="19" w16cid:durableId="160238739">
    <w:abstractNumId w:val="29"/>
  </w:num>
  <w:num w:numId="20" w16cid:durableId="2110929608">
    <w:abstractNumId w:val="9"/>
  </w:num>
  <w:num w:numId="21" w16cid:durableId="758602669">
    <w:abstractNumId w:val="23"/>
  </w:num>
  <w:num w:numId="22" w16cid:durableId="200286631">
    <w:abstractNumId w:val="13"/>
  </w:num>
  <w:num w:numId="23" w16cid:durableId="881792440">
    <w:abstractNumId w:val="15"/>
  </w:num>
  <w:num w:numId="24" w16cid:durableId="1244025657">
    <w:abstractNumId w:val="32"/>
  </w:num>
  <w:num w:numId="25" w16cid:durableId="1913662377">
    <w:abstractNumId w:val="19"/>
  </w:num>
  <w:num w:numId="26" w16cid:durableId="593516487">
    <w:abstractNumId w:val="17"/>
  </w:num>
  <w:num w:numId="27" w16cid:durableId="1765683576">
    <w:abstractNumId w:val="36"/>
  </w:num>
  <w:num w:numId="28" w16cid:durableId="1365247912">
    <w:abstractNumId w:val="37"/>
  </w:num>
  <w:num w:numId="29" w16cid:durableId="1959292946">
    <w:abstractNumId w:val="2"/>
  </w:num>
  <w:num w:numId="30" w16cid:durableId="1269197146">
    <w:abstractNumId w:val="31"/>
  </w:num>
  <w:num w:numId="31" w16cid:durableId="1910067961">
    <w:abstractNumId w:val="27"/>
  </w:num>
  <w:num w:numId="32" w16cid:durableId="1275402696">
    <w:abstractNumId w:val="4"/>
  </w:num>
  <w:num w:numId="33" w16cid:durableId="1000691195">
    <w:abstractNumId w:val="5"/>
  </w:num>
  <w:num w:numId="34" w16cid:durableId="76288335">
    <w:abstractNumId w:val="3"/>
  </w:num>
  <w:num w:numId="35" w16cid:durableId="904222339">
    <w:abstractNumId w:val="1"/>
  </w:num>
  <w:num w:numId="36" w16cid:durableId="1345017539">
    <w:abstractNumId w:val="28"/>
  </w:num>
  <w:num w:numId="37" w16cid:durableId="629870189">
    <w:abstractNumId w:val="40"/>
  </w:num>
  <w:num w:numId="38" w16cid:durableId="4352420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33491912">
    <w:abstractNumId w:val="39"/>
  </w:num>
  <w:num w:numId="40" w16cid:durableId="279147537">
    <w:abstractNumId w:val="18"/>
  </w:num>
  <w:num w:numId="41" w16cid:durableId="18332931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673CE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E76E9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860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ACD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67BF7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576EE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3E9E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D7E18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A0C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0C31"/>
    <w:rsid w:val="00DF3298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A50C7"/>
    <w:rsid w:val="00EC057A"/>
    <w:rsid w:val="00ED4B36"/>
    <w:rsid w:val="00EE0ED9"/>
    <w:rsid w:val="00EE2E55"/>
    <w:rsid w:val="00EF30BC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F66C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uiPriority w:val="9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uiPriority w:val="9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uiPriority w:val="9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5</Pages>
  <Words>651</Words>
  <Characters>3714</Characters>
  <Application>Microsoft Office Word</Application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4357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32</cp:revision>
  <cp:lastPrinted>2012-10-22T09:58:00Z</cp:lastPrinted>
  <dcterms:created xsi:type="dcterms:W3CDTF">2018-12-18T11:39:00Z</dcterms:created>
  <dcterms:modified xsi:type="dcterms:W3CDTF">2023-05-08T08:55:00Z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