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53186751" w:rsidR="006F5FD0" w:rsidRPr="00B33EE6" w:rsidRDefault="006F5FD0">
      <w:pPr>
        <w:jc w:val="center"/>
        <w:rPr>
          <w:rStyle w:val="Gl"/>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00FB65FE" w14:textId="5F10DCEE" w:rsidR="003C3300" w:rsidRPr="003C3300" w:rsidRDefault="003C3300" w:rsidP="003C3300">
      <w:pPr>
        <w:widowControl/>
        <w:spacing w:before="0" w:after="0"/>
        <w:jc w:val="center"/>
        <w:rPr>
          <w:b/>
          <w:snapToGrid/>
          <w:sz w:val="28"/>
          <w:szCs w:val="28"/>
          <w:lang w:val="tr-TR" w:eastAsia="tr-TR"/>
        </w:rPr>
      </w:pPr>
      <w:r w:rsidRPr="004759A5">
        <w:rPr>
          <w:sz w:val="28"/>
          <w:szCs w:val="28"/>
          <w:lang w:val="en-GB"/>
        </w:rPr>
        <w:br/>
      </w:r>
      <w:r w:rsidRPr="003C3300">
        <w:rPr>
          <w:b/>
          <w:sz w:val="28"/>
          <w:szCs w:val="28"/>
        </w:rPr>
        <w:t>“</w:t>
      </w:r>
      <w:proofErr w:type="spellStart"/>
      <w:r w:rsidRPr="003C3300">
        <w:rPr>
          <w:b/>
          <w:snapToGrid/>
          <w:color w:val="000000"/>
          <w:sz w:val="28"/>
          <w:szCs w:val="28"/>
          <w:lang w:val="tr-TR" w:eastAsia="tr-TR"/>
        </w:rPr>
        <w:t>Supply</w:t>
      </w:r>
      <w:proofErr w:type="spellEnd"/>
      <w:r w:rsidRPr="003C3300">
        <w:rPr>
          <w:b/>
          <w:snapToGrid/>
          <w:color w:val="000000"/>
          <w:sz w:val="28"/>
          <w:szCs w:val="28"/>
          <w:lang w:val="tr-TR" w:eastAsia="tr-TR"/>
        </w:rPr>
        <w:t xml:space="preserve"> of </w:t>
      </w:r>
      <w:proofErr w:type="spellStart"/>
      <w:r w:rsidRPr="003C3300">
        <w:rPr>
          <w:b/>
          <w:snapToGrid/>
          <w:color w:val="000000"/>
          <w:sz w:val="28"/>
          <w:szCs w:val="28"/>
          <w:lang w:val="tr-TR" w:eastAsia="tr-TR"/>
        </w:rPr>
        <w:t>consumables</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for</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the</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purposes</w:t>
      </w:r>
      <w:proofErr w:type="spellEnd"/>
      <w:r w:rsidRPr="003C3300">
        <w:rPr>
          <w:b/>
          <w:snapToGrid/>
          <w:color w:val="000000"/>
          <w:sz w:val="28"/>
          <w:szCs w:val="28"/>
          <w:lang w:val="tr-TR" w:eastAsia="tr-TR"/>
        </w:rPr>
        <w:t xml:space="preserve"> of </w:t>
      </w:r>
      <w:proofErr w:type="spellStart"/>
      <w:r w:rsidRPr="003C3300">
        <w:rPr>
          <w:b/>
          <w:snapToGrid/>
          <w:color w:val="000000"/>
          <w:sz w:val="28"/>
          <w:szCs w:val="28"/>
          <w:lang w:val="tr-TR" w:eastAsia="tr-TR"/>
        </w:rPr>
        <w:t>the</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scientific</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laboratories</w:t>
      </w:r>
      <w:proofErr w:type="spellEnd"/>
      <w:r w:rsidRPr="003C3300">
        <w:rPr>
          <w:b/>
          <w:snapToGrid/>
          <w:color w:val="000000"/>
          <w:sz w:val="28"/>
          <w:szCs w:val="28"/>
          <w:lang w:val="tr-TR" w:eastAsia="tr-TR"/>
        </w:rPr>
        <w:t xml:space="preserve"> of </w:t>
      </w:r>
      <w:proofErr w:type="spellStart"/>
      <w:r w:rsidRPr="003C3300">
        <w:rPr>
          <w:b/>
          <w:snapToGrid/>
          <w:color w:val="000000"/>
          <w:sz w:val="28"/>
          <w:szCs w:val="28"/>
          <w:lang w:val="tr-TR" w:eastAsia="tr-TR"/>
        </w:rPr>
        <w:t>the</w:t>
      </w:r>
      <w:proofErr w:type="spellEnd"/>
      <w:r w:rsidRPr="003C3300">
        <w:rPr>
          <w:b/>
          <w:snapToGrid/>
          <w:color w:val="000000"/>
          <w:sz w:val="28"/>
          <w:szCs w:val="28"/>
          <w:lang w:val="tr-TR" w:eastAsia="tr-TR"/>
        </w:rPr>
        <w:t xml:space="preserve"> BLUE GROWTH </w:t>
      </w:r>
      <w:proofErr w:type="spellStart"/>
      <w:r w:rsidRPr="003C3300">
        <w:rPr>
          <w:b/>
          <w:snapToGrid/>
          <w:color w:val="000000"/>
          <w:sz w:val="28"/>
          <w:szCs w:val="28"/>
          <w:lang w:val="tr-TR" w:eastAsia="tr-TR"/>
        </w:rPr>
        <w:t>Research</w:t>
      </w:r>
      <w:proofErr w:type="spellEnd"/>
      <w:r w:rsidRPr="003C3300">
        <w:rPr>
          <w:b/>
          <w:snapToGrid/>
          <w:color w:val="000000"/>
          <w:sz w:val="28"/>
          <w:szCs w:val="28"/>
          <w:lang w:val="tr-TR" w:eastAsia="tr-TR"/>
        </w:rPr>
        <w:t xml:space="preserve"> </w:t>
      </w:r>
      <w:proofErr w:type="spellStart"/>
      <w:r w:rsidRPr="003C3300">
        <w:rPr>
          <w:b/>
          <w:snapToGrid/>
          <w:color w:val="000000"/>
          <w:sz w:val="28"/>
          <w:szCs w:val="28"/>
          <w:lang w:val="tr-TR" w:eastAsia="tr-TR"/>
        </w:rPr>
        <w:t>centre</w:t>
      </w:r>
      <w:proofErr w:type="spellEnd"/>
      <w:r w:rsidRPr="003C3300">
        <w:rPr>
          <w:b/>
          <w:snapToGrid/>
          <w:color w:val="000000"/>
          <w:sz w:val="28"/>
          <w:szCs w:val="28"/>
          <w:lang w:val="tr-TR" w:eastAsia="tr-TR"/>
        </w:rPr>
        <w:t xml:space="preserve"> at Trakya </w:t>
      </w:r>
      <w:proofErr w:type="spellStart"/>
      <w:r w:rsidRPr="003C3300">
        <w:rPr>
          <w:b/>
          <w:snapToGrid/>
          <w:color w:val="000000"/>
          <w:sz w:val="28"/>
          <w:szCs w:val="28"/>
          <w:lang w:val="tr-TR" w:eastAsia="tr-TR"/>
        </w:rPr>
        <w:t>University</w:t>
      </w:r>
      <w:proofErr w:type="spellEnd"/>
      <w:r w:rsidRPr="003C3300">
        <w:rPr>
          <w:b/>
          <w:snapToGrid/>
          <w:color w:val="000000"/>
          <w:sz w:val="28"/>
          <w:szCs w:val="28"/>
          <w:lang w:val="tr-TR" w:eastAsia="tr-TR"/>
        </w:rPr>
        <w:t xml:space="preserve"> of Edirne</w:t>
      </w:r>
      <w:r w:rsidRPr="003C3300">
        <w:rPr>
          <w:b/>
          <w:sz w:val="28"/>
          <w:szCs w:val="28"/>
        </w:rPr>
        <w:t>”</w:t>
      </w:r>
    </w:p>
    <w:p w14:paraId="478468B0" w14:textId="1483FC10" w:rsidR="003C3300" w:rsidRDefault="003C3300" w:rsidP="003C3300">
      <w:pPr>
        <w:spacing w:after="240"/>
        <w:jc w:val="center"/>
        <w:rPr>
          <w:b/>
          <w:sz w:val="28"/>
          <w:szCs w:val="28"/>
        </w:rPr>
      </w:pPr>
      <w:r w:rsidRPr="003C3300">
        <w:rPr>
          <w:b/>
          <w:sz w:val="28"/>
          <w:szCs w:val="28"/>
        </w:rPr>
        <w:t>Edirne, Edirne Province, Turkey</w:t>
      </w:r>
    </w:p>
    <w:p w14:paraId="2378EDEF" w14:textId="77777777" w:rsidR="0067008E" w:rsidRDefault="0067008E" w:rsidP="0067008E">
      <w:pPr>
        <w:jc w:val="center"/>
      </w:pPr>
      <w:r w:rsidRPr="002B14A4">
        <w:rPr>
          <w:b/>
          <w:bCs/>
          <w:i/>
          <w:iCs/>
          <w:sz w:val="22"/>
          <w:szCs w:val="22"/>
        </w:rPr>
        <w:t>LOT 1:</w:t>
      </w:r>
      <w:r>
        <w:rPr>
          <w:sz w:val="22"/>
          <w:szCs w:val="22"/>
        </w:rPr>
        <w:t xml:space="preserve"> </w:t>
      </w:r>
      <w:r>
        <w:t>Supply of consumables for the Water Pollution Monitoring, the Aquatic ecosystems and the Aquaculture and Biotechnology Laboratories</w:t>
      </w:r>
    </w:p>
    <w:p w14:paraId="714CB0A1" w14:textId="3B919A63" w:rsidR="0067008E" w:rsidRPr="00456703" w:rsidRDefault="0067008E" w:rsidP="0067008E">
      <w:pPr>
        <w:jc w:val="center"/>
        <w:rPr>
          <w:b/>
          <w:bCs/>
          <w:sz w:val="22"/>
          <w:szCs w:val="22"/>
          <w:lang w:val="tr-TR" w:eastAsia="tr-TR"/>
        </w:rPr>
      </w:pPr>
      <w:r w:rsidRPr="002B14A4">
        <w:rPr>
          <w:b/>
          <w:bCs/>
          <w:i/>
          <w:iCs/>
        </w:rPr>
        <w:t>LOT 2:</w:t>
      </w:r>
      <w:r>
        <w:t xml:space="preserve"> </w:t>
      </w:r>
      <w:r w:rsidRPr="0082479A">
        <w:t xml:space="preserve"> </w:t>
      </w:r>
      <w:r>
        <w:t xml:space="preserve">Supply of consumables for diffuse pollution </w:t>
      </w:r>
      <w:r w:rsidR="00397EC4">
        <w:t>monitoring</w:t>
      </w:r>
      <w:r>
        <w:t xml:space="preserve"> and analysis </w:t>
      </w:r>
      <w:proofErr w:type="gramStart"/>
      <w:r>
        <w:t xml:space="preserve">( </w:t>
      </w:r>
      <w:r w:rsidR="00397EC4">
        <w:t>certified</w:t>
      </w:r>
      <w:proofErr w:type="gramEnd"/>
      <w:r>
        <w:t xml:space="preserve"> materials)</w:t>
      </w:r>
    </w:p>
    <w:p w14:paraId="1E3CC1C3" w14:textId="77777777" w:rsidR="00571687" w:rsidRPr="00B33EE6" w:rsidRDefault="00571687" w:rsidP="0067008E">
      <w:pPr>
        <w:outlineLvl w:val="0"/>
        <w:rPr>
          <w:rStyle w:val="Gl"/>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2E1753E2" w14:textId="77777777" w:rsidR="003C3300" w:rsidRPr="003C3300" w:rsidRDefault="003C3300" w:rsidP="00584BF4">
      <w:pPr>
        <w:ind w:left="709" w:hanging="349"/>
        <w:outlineLvl w:val="0"/>
        <w:rPr>
          <w:sz w:val="22"/>
          <w:szCs w:val="22"/>
        </w:rPr>
      </w:pPr>
      <w:r w:rsidRPr="003C3300">
        <w:rPr>
          <w:sz w:val="22"/>
          <w:szCs w:val="22"/>
        </w:rPr>
        <w:t>CB005.3.12.001 – PP2 – Supply 8</w:t>
      </w:r>
    </w:p>
    <w:p w14:paraId="7A3797D8" w14:textId="5032208B" w:rsidR="006F5FD0" w:rsidRPr="00B33EE6" w:rsidRDefault="007727F3" w:rsidP="00584BF4">
      <w:pPr>
        <w:ind w:left="709" w:hanging="349"/>
        <w:outlineLvl w:val="0"/>
        <w:rPr>
          <w:sz w:val="22"/>
          <w:szCs w:val="22"/>
          <w:lang w:val="en-GB"/>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41C9370C" w14:textId="7DDC0B78" w:rsidR="006F5FD0" w:rsidRPr="00B33EE6" w:rsidRDefault="00AD1E4D" w:rsidP="00C867B9">
      <w:pPr>
        <w:pStyle w:val="Blockquote"/>
        <w:ind w:left="0"/>
        <w:jc w:val="both"/>
        <w:rPr>
          <w:sz w:val="22"/>
          <w:szCs w:val="22"/>
          <w:lang w:val="en-GB"/>
        </w:rPr>
      </w:pPr>
      <w:r w:rsidRPr="003C3300">
        <w:rPr>
          <w:sz w:val="22"/>
          <w:szCs w:val="22"/>
          <w:lang w:val="en-GB"/>
        </w:rPr>
        <w:t xml:space="preserve">   </w:t>
      </w:r>
      <w:r w:rsidR="003C3300" w:rsidRPr="003C3300">
        <w:rPr>
          <w:sz w:val="22"/>
          <w:szCs w:val="22"/>
          <w:lang w:val="en-GB"/>
        </w:rPr>
        <w:t xml:space="preserve">      </w:t>
      </w:r>
      <w:r w:rsidRPr="003C3300">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5958FC5B" w14:textId="77777777" w:rsidR="003C3300" w:rsidRDefault="003C3300" w:rsidP="003C3300">
      <w:pPr>
        <w:pBdr>
          <w:top w:val="nil"/>
          <w:left w:val="nil"/>
          <w:bottom w:val="nil"/>
          <w:right w:val="nil"/>
          <w:between w:val="nil"/>
        </w:pBdr>
        <w:ind w:left="360"/>
        <w:rPr>
          <w:b/>
          <w:color w:val="000000"/>
          <w:sz w:val="22"/>
          <w:szCs w:val="22"/>
        </w:rPr>
      </w:pPr>
      <w:r>
        <w:rPr>
          <w:lang w:val="en-GB"/>
        </w:rPr>
        <w:t xml:space="preserve">Interreg IPA CBC Bulgaria – Turkey 2014 – 2020 programme </w:t>
      </w:r>
      <w:r>
        <w:rPr>
          <w:color w:val="000000"/>
          <w:sz w:val="22"/>
          <w:szCs w:val="22"/>
        </w:rPr>
        <w:t xml:space="preserve">CCI No 2014TC16I5CB005, Restricted Call for Strategic Project Proposal No 2014TC16I5CB005 - 2020 -3 </w:t>
      </w:r>
    </w:p>
    <w:p w14:paraId="797EC4DC"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0F532635" w14:textId="6988A2F0" w:rsidR="00502217" w:rsidRPr="003C3300" w:rsidRDefault="003C3300" w:rsidP="003C3300">
      <w:pPr>
        <w:pBdr>
          <w:top w:val="nil"/>
          <w:left w:val="nil"/>
          <w:bottom w:val="nil"/>
          <w:right w:val="nil"/>
          <w:between w:val="nil"/>
        </w:pBdr>
        <w:ind w:left="360"/>
        <w:rPr>
          <w:b/>
          <w:color w:val="000000"/>
          <w:sz w:val="22"/>
          <w:szCs w:val="22"/>
        </w:rPr>
      </w:pPr>
      <w:r>
        <w:rPr>
          <w:lang w:val="en-GB"/>
        </w:rPr>
        <w:t xml:space="preserve">Interreg IPA CBC Bulgaria – Turkey 2014 – 2020 programme </w:t>
      </w:r>
      <w:r>
        <w:rPr>
          <w:color w:val="000000"/>
          <w:sz w:val="22"/>
          <w:szCs w:val="22"/>
        </w:rPr>
        <w:t xml:space="preserve">CCI No 2014TC16I5CB005, Restricted Call for Strategic Project Proposal No 2014TC16I5CB005 - 2020 -3 </w:t>
      </w:r>
    </w:p>
    <w:p w14:paraId="03ED8384"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2EFF159C" w14:textId="20C9B2FC" w:rsidR="00C10BE8" w:rsidRPr="00C10BE8" w:rsidRDefault="00C10BE8" w:rsidP="00C10BE8">
      <w:pPr>
        <w:spacing w:before="0" w:after="0"/>
        <w:ind w:left="357" w:right="357"/>
        <w:rPr>
          <w:sz w:val="22"/>
          <w:szCs w:val="22"/>
        </w:rPr>
      </w:pPr>
      <w:r w:rsidRPr="00C10BE8">
        <w:rPr>
          <w:sz w:val="22"/>
          <w:szCs w:val="22"/>
        </w:rPr>
        <w:t xml:space="preserve">Trakya University </w:t>
      </w:r>
      <w:r w:rsidRPr="00C10BE8">
        <w:rPr>
          <w:sz w:val="22"/>
          <w:szCs w:val="22"/>
        </w:rPr>
        <w:br/>
        <w:t xml:space="preserve">Trakya </w:t>
      </w:r>
      <w:proofErr w:type="spellStart"/>
      <w:r w:rsidRPr="00C10BE8">
        <w:rPr>
          <w:sz w:val="22"/>
          <w:szCs w:val="22"/>
        </w:rPr>
        <w:t>Üniversitesi</w:t>
      </w:r>
      <w:proofErr w:type="spellEnd"/>
      <w:r w:rsidRPr="00C10BE8">
        <w:rPr>
          <w:sz w:val="22"/>
          <w:szCs w:val="22"/>
        </w:rPr>
        <w:t xml:space="preserve"> </w:t>
      </w:r>
      <w:proofErr w:type="spellStart"/>
      <w:r w:rsidRPr="00C10BE8">
        <w:rPr>
          <w:sz w:val="22"/>
          <w:szCs w:val="22"/>
        </w:rPr>
        <w:t>Rektörlüğü</w:t>
      </w:r>
      <w:proofErr w:type="spellEnd"/>
      <w:r w:rsidRPr="00C10BE8">
        <w:rPr>
          <w:sz w:val="22"/>
          <w:szCs w:val="22"/>
        </w:rPr>
        <w:t xml:space="preserve">, </w:t>
      </w:r>
      <w:proofErr w:type="spellStart"/>
      <w:r w:rsidRPr="00C10BE8">
        <w:rPr>
          <w:color w:val="000000"/>
        </w:rPr>
        <w:t>Teknoloji</w:t>
      </w:r>
      <w:proofErr w:type="spellEnd"/>
      <w:r w:rsidRPr="00C10BE8">
        <w:rPr>
          <w:color w:val="000000"/>
        </w:rPr>
        <w:t xml:space="preserve"> </w:t>
      </w:r>
      <w:proofErr w:type="spellStart"/>
      <w:r w:rsidRPr="00C10BE8">
        <w:rPr>
          <w:color w:val="000000"/>
        </w:rPr>
        <w:t>Transferi</w:t>
      </w:r>
      <w:proofErr w:type="spellEnd"/>
      <w:r w:rsidRPr="00C10BE8">
        <w:rPr>
          <w:color w:val="000000"/>
        </w:rPr>
        <w:t xml:space="preserve"> </w:t>
      </w:r>
      <w:proofErr w:type="spellStart"/>
      <w:r w:rsidRPr="00C10BE8">
        <w:rPr>
          <w:color w:val="000000"/>
        </w:rPr>
        <w:t>Uygulama</w:t>
      </w:r>
      <w:proofErr w:type="spellEnd"/>
      <w:r w:rsidRPr="00C10BE8">
        <w:rPr>
          <w:color w:val="000000"/>
        </w:rPr>
        <w:t xml:space="preserve"> </w:t>
      </w:r>
      <w:proofErr w:type="spellStart"/>
      <w:r w:rsidRPr="00C10BE8">
        <w:rPr>
          <w:color w:val="000000"/>
        </w:rPr>
        <w:t>ve</w:t>
      </w:r>
      <w:proofErr w:type="spellEnd"/>
      <w:r w:rsidRPr="00C10BE8">
        <w:rPr>
          <w:color w:val="000000"/>
        </w:rPr>
        <w:t xml:space="preserve"> </w:t>
      </w:r>
      <w:proofErr w:type="spellStart"/>
      <w:r w:rsidRPr="00C10BE8">
        <w:rPr>
          <w:color w:val="000000"/>
        </w:rPr>
        <w:t>Araştırma</w:t>
      </w:r>
      <w:proofErr w:type="spellEnd"/>
      <w:r w:rsidRPr="00C10BE8">
        <w:rPr>
          <w:color w:val="000000"/>
        </w:rPr>
        <w:t xml:space="preserve"> </w:t>
      </w:r>
      <w:proofErr w:type="spellStart"/>
      <w:proofErr w:type="gramStart"/>
      <w:r w:rsidRPr="00C10BE8">
        <w:rPr>
          <w:color w:val="000000"/>
        </w:rPr>
        <w:t>Merkezi</w:t>
      </w:r>
      <w:proofErr w:type="spellEnd"/>
      <w:r w:rsidRPr="00C10BE8">
        <w:rPr>
          <w:color w:val="000000"/>
        </w:rPr>
        <w:t xml:space="preserve">, </w:t>
      </w:r>
      <w:r w:rsidRPr="00C10BE8">
        <w:rPr>
          <w:sz w:val="22"/>
          <w:szCs w:val="22"/>
        </w:rPr>
        <w:t xml:space="preserve"> Balkan</w:t>
      </w:r>
      <w:proofErr w:type="gramEnd"/>
      <w:r w:rsidRPr="00C10BE8">
        <w:rPr>
          <w:sz w:val="22"/>
          <w:szCs w:val="22"/>
        </w:rPr>
        <w:t xml:space="preserve"> </w:t>
      </w:r>
      <w:proofErr w:type="spellStart"/>
      <w:r w:rsidRPr="00C10BE8">
        <w:rPr>
          <w:sz w:val="22"/>
          <w:szCs w:val="22"/>
        </w:rPr>
        <w:t>Yerleşkesi</w:t>
      </w:r>
      <w:proofErr w:type="spellEnd"/>
      <w:r w:rsidRPr="00C10BE8">
        <w:rPr>
          <w:sz w:val="22"/>
          <w:szCs w:val="22"/>
        </w:rPr>
        <w:t xml:space="preserve"> </w:t>
      </w:r>
    </w:p>
    <w:p w14:paraId="74E438FF" w14:textId="02819339" w:rsidR="00C10BE8" w:rsidRPr="00C10BE8" w:rsidRDefault="00C10BE8" w:rsidP="00C10BE8">
      <w:pPr>
        <w:spacing w:before="0" w:after="0"/>
        <w:ind w:left="357" w:right="357"/>
        <w:rPr>
          <w:sz w:val="22"/>
          <w:szCs w:val="22"/>
        </w:rPr>
      </w:pPr>
      <w:r w:rsidRPr="00C10BE8">
        <w:rPr>
          <w:sz w:val="22"/>
          <w:szCs w:val="22"/>
        </w:rPr>
        <w:t>Edirne, Turkey</w:t>
      </w:r>
    </w:p>
    <w:p w14:paraId="67F4A905" w14:textId="31FC16AF" w:rsidR="006F5FD0" w:rsidRPr="00B33EE6" w:rsidRDefault="008F4853" w:rsidP="00C10BE8">
      <w:pPr>
        <w:ind w:left="357" w:right="357"/>
        <w:jc w:val="both"/>
        <w:rPr>
          <w:sz w:val="22"/>
          <w:szCs w:val="22"/>
          <w:lang w:val="en-GB"/>
        </w:rPr>
      </w:pPr>
      <w:r>
        <w:rPr>
          <w:snapToGrid/>
          <w:sz w:val="22"/>
          <w:szCs w:val="22"/>
          <w:lang w:val="en-GB"/>
        </w:rPr>
        <w:pict w14:anchorId="589D319E">
          <v:line id="_x0000_s2054" alt="" style="position:absolute;left:0;text-align:left;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Gl"/>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71099A85" w14:textId="3FDFF9E2" w:rsidR="006F5FD0" w:rsidRPr="00B33EE6" w:rsidRDefault="008A1184">
      <w:pPr>
        <w:pStyle w:val="Blockquote"/>
        <w:jc w:val="both"/>
        <w:rPr>
          <w:i/>
          <w:sz w:val="22"/>
          <w:szCs w:val="22"/>
          <w:lang w:val="en-GB"/>
        </w:rPr>
      </w:pPr>
      <w:r>
        <w:rPr>
          <w:rStyle w:val="Vurgu"/>
          <w:i w:val="0"/>
          <w:sz w:val="22"/>
          <w:szCs w:val="22"/>
          <w:lang w:val="en-GB"/>
        </w:rPr>
        <w:t xml:space="preserve"> </w:t>
      </w:r>
      <w:r w:rsidR="00E14F50">
        <w:rPr>
          <w:rStyle w:val="Vurgu"/>
          <w:i w:val="0"/>
          <w:sz w:val="22"/>
          <w:szCs w:val="22"/>
          <w:lang w:val="en-GB"/>
        </w:rPr>
        <w:t>L</w:t>
      </w:r>
      <w:r w:rsidRPr="00FE74BA">
        <w:rPr>
          <w:rStyle w:val="Vurgu"/>
          <w:i w:val="0"/>
          <w:sz w:val="22"/>
          <w:szCs w:val="22"/>
          <w:lang w:val="en-GB"/>
        </w:rPr>
        <w:t>ump sum</w:t>
      </w:r>
    </w:p>
    <w:p w14:paraId="1879C6BF" w14:textId="77777777" w:rsidR="006F5FD0" w:rsidRPr="00B33EE6" w:rsidRDefault="006F5FD0" w:rsidP="00584BF4">
      <w:pPr>
        <w:ind w:left="709" w:hanging="352"/>
        <w:outlineLvl w:val="0"/>
        <w:rPr>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1A7E7EBD" w14:textId="77777777" w:rsidR="00FE74BA" w:rsidRDefault="00FE74BA" w:rsidP="00FE74BA">
      <w:pPr>
        <w:ind w:left="360"/>
        <w:outlineLvl w:val="0"/>
        <w:rPr>
          <w:rStyle w:val="Vurgu"/>
          <w:i w:val="0"/>
          <w:sz w:val="22"/>
          <w:szCs w:val="22"/>
          <w:lang w:val="en-GB"/>
        </w:rPr>
      </w:pPr>
      <w:r w:rsidRPr="00FE74BA">
        <w:rPr>
          <w:rStyle w:val="Vurgu"/>
          <w:i w:val="0"/>
          <w:sz w:val="22"/>
          <w:szCs w:val="22"/>
          <w:lang w:val="en-GB"/>
        </w:rPr>
        <w:t xml:space="preserve">Trakya University intends to award the contract for supply of consumables for sampling and analysis of the environmental aspects. The specified consumables are to serve the purposes of the research work implemented by the scientific laboratories of the BLUE GROWTH Research centre at the University. The subject of the contract is the supply and delivery of consumables in accordance with </w:t>
      </w:r>
      <w:r w:rsidRPr="00FE74BA">
        <w:rPr>
          <w:rStyle w:val="Vurgu"/>
          <w:i w:val="0"/>
          <w:sz w:val="22"/>
          <w:szCs w:val="22"/>
          <w:lang w:val="en-GB"/>
        </w:rPr>
        <w:lastRenderedPageBreak/>
        <w:t>the technical specifications of Annex III</w:t>
      </w:r>
    </w:p>
    <w:p w14:paraId="75E79BC7" w14:textId="14B5B8C8" w:rsidR="006F5FD0" w:rsidRPr="00FE74BA" w:rsidRDefault="006F5FD0" w:rsidP="00FE74BA">
      <w:pPr>
        <w:ind w:left="360"/>
        <w:outlineLvl w:val="0"/>
        <w:rPr>
          <w:sz w:val="22"/>
          <w:szCs w:val="22"/>
          <w:lang w:val="en-GB"/>
        </w:rPr>
      </w:pPr>
      <w:r w:rsidRPr="00FE74BA">
        <w:rPr>
          <w:rStyle w:val="Gl"/>
          <w:sz w:val="22"/>
          <w:szCs w:val="22"/>
          <w:lang w:val="en-GB"/>
        </w:rPr>
        <w:t xml:space="preserve">8. </w:t>
      </w:r>
      <w:r w:rsidR="00584BF4" w:rsidRPr="00FE74BA">
        <w:rPr>
          <w:rStyle w:val="Gl"/>
          <w:sz w:val="22"/>
          <w:szCs w:val="22"/>
          <w:lang w:val="en-GB"/>
        </w:rPr>
        <w:tab/>
      </w:r>
      <w:r w:rsidRPr="00FE74BA">
        <w:rPr>
          <w:rStyle w:val="Gl"/>
          <w:sz w:val="22"/>
          <w:szCs w:val="22"/>
          <w:lang w:val="en-GB"/>
        </w:rPr>
        <w:t>Number and titles of lots</w:t>
      </w:r>
    </w:p>
    <w:p w14:paraId="6550E783" w14:textId="7B513D3F" w:rsidR="00FE74BA" w:rsidRPr="00DB7945" w:rsidRDefault="00DB7945" w:rsidP="00DB7945">
      <w:pPr>
        <w:ind w:left="709" w:hanging="349"/>
        <w:outlineLvl w:val="0"/>
        <w:rPr>
          <w:rStyle w:val="Vurgu"/>
          <w:i w:val="0"/>
          <w:sz w:val="22"/>
          <w:szCs w:val="22"/>
          <w:lang w:val="en-GB"/>
        </w:rPr>
      </w:pPr>
      <w:r w:rsidRPr="00DB7945">
        <w:rPr>
          <w:rStyle w:val="Vurgu"/>
          <w:i w:val="0"/>
          <w:sz w:val="22"/>
          <w:szCs w:val="22"/>
          <w:lang w:val="en-GB"/>
        </w:rPr>
        <w:t>This contract is divided into lots:</w:t>
      </w:r>
    </w:p>
    <w:p w14:paraId="3C9D46F3" w14:textId="77777777" w:rsidR="00DB7945" w:rsidRPr="00DB7945" w:rsidRDefault="00DB7945" w:rsidP="00DB7945">
      <w:pPr>
        <w:rPr>
          <w:sz w:val="22"/>
          <w:szCs w:val="22"/>
        </w:rPr>
      </w:pPr>
      <w:r w:rsidRPr="00DB7945">
        <w:rPr>
          <w:b/>
          <w:bCs/>
          <w:i/>
          <w:iCs/>
          <w:sz w:val="22"/>
          <w:szCs w:val="22"/>
        </w:rPr>
        <w:t>LOT 1:</w:t>
      </w:r>
      <w:r w:rsidRPr="00DB7945">
        <w:rPr>
          <w:sz w:val="22"/>
          <w:szCs w:val="22"/>
        </w:rPr>
        <w:t xml:space="preserve"> Supply of consumables for the Water Pollution Monitoring, the Aquatic ecosystems and the Aquaculture and Biotechnology Laboratories</w:t>
      </w:r>
    </w:p>
    <w:p w14:paraId="54D9A50A" w14:textId="08210FD9" w:rsidR="00DB7945" w:rsidRPr="00DB7945" w:rsidRDefault="00DB7945" w:rsidP="00DB7945">
      <w:pPr>
        <w:rPr>
          <w:rStyle w:val="Vurgu"/>
          <w:b/>
          <w:bCs/>
          <w:i w:val="0"/>
          <w:sz w:val="22"/>
          <w:szCs w:val="22"/>
          <w:lang w:val="tr-TR" w:eastAsia="tr-TR"/>
        </w:rPr>
      </w:pPr>
      <w:r w:rsidRPr="00DB7945">
        <w:rPr>
          <w:b/>
          <w:bCs/>
          <w:i/>
          <w:iCs/>
          <w:sz w:val="22"/>
          <w:szCs w:val="22"/>
        </w:rPr>
        <w:t>LOT 2:</w:t>
      </w:r>
      <w:r w:rsidRPr="00DB7945">
        <w:rPr>
          <w:sz w:val="22"/>
          <w:szCs w:val="22"/>
        </w:rPr>
        <w:t xml:space="preserve">  Supply of consumables for diffuse pollution </w:t>
      </w:r>
      <w:r w:rsidR="00BE3CFF" w:rsidRPr="00DB7945">
        <w:rPr>
          <w:sz w:val="22"/>
          <w:szCs w:val="22"/>
        </w:rPr>
        <w:t>monitoring</w:t>
      </w:r>
      <w:r w:rsidRPr="00DB7945">
        <w:rPr>
          <w:sz w:val="22"/>
          <w:szCs w:val="22"/>
        </w:rPr>
        <w:t xml:space="preserve"> and analysis </w:t>
      </w:r>
      <w:proofErr w:type="gramStart"/>
      <w:r w:rsidRPr="00DB7945">
        <w:rPr>
          <w:sz w:val="22"/>
          <w:szCs w:val="22"/>
        </w:rPr>
        <w:t xml:space="preserve">( </w:t>
      </w:r>
      <w:r w:rsidR="00BE3CFF">
        <w:rPr>
          <w:sz w:val="22"/>
          <w:szCs w:val="22"/>
        </w:rPr>
        <w:t>certified</w:t>
      </w:r>
      <w:proofErr w:type="gramEnd"/>
      <w:r w:rsidRPr="00DB7945">
        <w:rPr>
          <w:sz w:val="22"/>
          <w:szCs w:val="22"/>
        </w:rPr>
        <w:t xml:space="preserve"> materials)</w:t>
      </w:r>
    </w:p>
    <w:p w14:paraId="6C843D95" w14:textId="10CB60E5" w:rsidR="006F5FD0" w:rsidRPr="00B33EE6" w:rsidRDefault="008F4853" w:rsidP="00FE74BA">
      <w:pPr>
        <w:ind w:left="709" w:hanging="349"/>
        <w:outlineLvl w:val="0"/>
        <w:rPr>
          <w:sz w:val="22"/>
          <w:szCs w:val="22"/>
          <w:lang w:val="en-GB"/>
        </w:rPr>
      </w:pPr>
      <w:r>
        <w:rPr>
          <w:snapToGrid/>
          <w:sz w:val="22"/>
          <w:szCs w:val="22"/>
          <w:lang w:val="en-GB"/>
        </w:rPr>
        <w:pict w14:anchorId="21854D6C">
          <v:line id="_x0000_s2053" alt="" style="position:absolute;left:0;text-align:left;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Gl"/>
          <w:sz w:val="28"/>
          <w:szCs w:val="28"/>
          <w:lang w:val="en-GB"/>
        </w:rPr>
        <w:t>CONDITIONS OF PARTICIPATION</w:t>
      </w:r>
    </w:p>
    <w:p w14:paraId="2CB5FCF7" w14:textId="4EFF6DAD" w:rsidR="00B9793F" w:rsidRDefault="00B9793F" w:rsidP="008660AD">
      <w:pPr>
        <w:pStyle w:val="DipnotMetni"/>
        <w:ind w:firstLine="426"/>
        <w:rPr>
          <w:rStyle w:val="Gl"/>
          <w:sz w:val="22"/>
          <w:szCs w:val="22"/>
          <w:lang w:val="en-GB"/>
        </w:rPr>
      </w:pPr>
      <w:r>
        <w:rPr>
          <w:rStyle w:val="Gl"/>
          <w:sz w:val="22"/>
          <w:szCs w:val="22"/>
          <w:lang w:val="en-GB"/>
        </w:rPr>
        <w:t xml:space="preserve">10. </w:t>
      </w:r>
      <w:r w:rsidRPr="00D97139">
        <w:rPr>
          <w:rStyle w:val="Gl"/>
          <w:sz w:val="22"/>
          <w:szCs w:val="22"/>
          <w:lang w:val="en-GB"/>
        </w:rPr>
        <w:t xml:space="preserve">Legal basis, </w:t>
      </w:r>
      <w:proofErr w:type="gramStart"/>
      <w:r w:rsidRPr="00D97139">
        <w:rPr>
          <w:rStyle w:val="Gl"/>
          <w:sz w:val="22"/>
          <w:szCs w:val="22"/>
          <w:lang w:val="en-GB"/>
        </w:rPr>
        <w:t>eligibility</w:t>
      </w:r>
      <w:proofErr w:type="gramEnd"/>
      <w:r w:rsidRPr="00D97139">
        <w:rPr>
          <w:rStyle w:val="Gl"/>
          <w:sz w:val="22"/>
          <w:szCs w:val="22"/>
          <w:lang w:val="en-GB"/>
        </w:rPr>
        <w:t xml:space="preserve"> and rules of origin</w:t>
      </w:r>
    </w:p>
    <w:p w14:paraId="5ED600D7" w14:textId="77777777" w:rsidR="008E7619" w:rsidRPr="00BF6247" w:rsidRDefault="008E7619" w:rsidP="008E7619">
      <w:pPr>
        <w:pStyle w:val="paragraph"/>
        <w:spacing w:before="0" w:beforeAutospacing="0" w:after="0" w:afterAutospacing="0"/>
        <w:ind w:left="432"/>
        <w:jc w:val="both"/>
        <w:textAlignment w:val="baseline"/>
        <w:rPr>
          <w:rStyle w:val="normaltextrun"/>
          <w:sz w:val="22"/>
          <w:szCs w:val="22"/>
          <w:lang w:val="en-GB"/>
        </w:rPr>
      </w:pPr>
      <w:r w:rsidRPr="0053782D">
        <w:rPr>
          <w:rStyle w:val="normaltextrun"/>
          <w:sz w:val="22"/>
          <w:szCs w:val="22"/>
          <w:lang w:val="en-GB"/>
        </w:rPr>
        <w:t>The legal basis of this procedure is Regulation</w:t>
      </w:r>
      <w:r w:rsidRPr="0053782D">
        <w:rPr>
          <w:rStyle w:val="normaltextrun"/>
          <w:bCs/>
          <w:sz w:val="22"/>
          <w:szCs w:val="22"/>
          <w:lang w:val="en-GB"/>
        </w:rPr>
        <w:t> </w:t>
      </w:r>
      <w:r w:rsidRPr="0053782D">
        <w:rPr>
          <w:rStyle w:val="normaltextrun"/>
          <w:sz w:val="22"/>
          <w:szCs w:val="22"/>
          <w:lang w:val="en-GB"/>
        </w:rPr>
        <w:t>(EU)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w:t>
      </w:r>
    </w:p>
    <w:p w14:paraId="52EB2CEB" w14:textId="77777777" w:rsidR="008E7619" w:rsidRPr="00F72244" w:rsidRDefault="008E7619" w:rsidP="008E7619">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23271408" w14:textId="77777777" w:rsidR="008E7619" w:rsidRPr="0053782D" w:rsidRDefault="008E7619" w:rsidP="008E7619">
      <w:pPr>
        <w:pStyle w:val="paragraph"/>
        <w:spacing w:before="0" w:beforeAutospacing="0" w:after="0" w:afterAutospacing="0"/>
        <w:ind w:left="426"/>
        <w:jc w:val="both"/>
        <w:textAlignment w:val="baseline"/>
        <w:rPr>
          <w:snapToGrid w:val="0"/>
          <w:sz w:val="22"/>
          <w:szCs w:val="22"/>
          <w:lang w:val="en-GB" w:eastAsia="en-US"/>
        </w:rPr>
      </w:pPr>
      <w:r w:rsidRPr="0053782D">
        <w:rPr>
          <w:rFonts w:cs="Arial"/>
          <w:snapToGrid w:val="0"/>
          <w:sz w:val="22"/>
          <w:szCs w:val="22"/>
          <w:lang w:eastAsia="en-US"/>
        </w:rPr>
        <w:t xml:space="preserve">Participation </w:t>
      </w:r>
      <w:proofErr w:type="spellStart"/>
      <w:r w:rsidRPr="0053782D">
        <w:rPr>
          <w:rFonts w:cs="Arial"/>
          <w:snapToGrid w:val="0"/>
          <w:sz w:val="22"/>
          <w:szCs w:val="22"/>
          <w:lang w:eastAsia="en-US"/>
        </w:rPr>
        <w:t>is</w:t>
      </w:r>
      <w:proofErr w:type="spellEnd"/>
      <w:r w:rsidRPr="0053782D">
        <w:rPr>
          <w:rFonts w:cs="Arial"/>
          <w:snapToGrid w:val="0"/>
          <w:sz w:val="22"/>
          <w:szCs w:val="22"/>
          <w:lang w:eastAsia="en-US"/>
        </w:rPr>
        <w:t xml:space="preserve"> open to all </w:t>
      </w:r>
      <w:r w:rsidRPr="0053782D">
        <w:rPr>
          <w:rFonts w:cs="Arial"/>
          <w:snapToGrid w:val="0"/>
          <w:sz w:val="22"/>
          <w:szCs w:val="22"/>
          <w:lang w:val="en-GB" w:eastAsia="en-US"/>
        </w:rPr>
        <w:t>natural persons who are nationals of and </w:t>
      </w:r>
      <w:proofErr w:type="spellStart"/>
      <w:r w:rsidRPr="0053782D">
        <w:rPr>
          <w:rFonts w:cs="Arial"/>
          <w:snapToGrid w:val="0"/>
          <w:sz w:val="22"/>
          <w:szCs w:val="22"/>
          <w:lang w:eastAsia="en-US"/>
        </w:rPr>
        <w:t>legal</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persons</w:t>
      </w:r>
      <w:proofErr w:type="spellEnd"/>
      <w:r w:rsidRPr="0053782D">
        <w:rPr>
          <w:rFonts w:cs="Arial"/>
          <w:snapToGrid w:val="0"/>
          <w:sz w:val="22"/>
          <w:szCs w:val="22"/>
          <w:lang w:eastAsia="en-US"/>
        </w:rPr>
        <w:t> (</w:t>
      </w:r>
      <w:proofErr w:type="spellStart"/>
      <w:r w:rsidRPr="0053782D">
        <w:rPr>
          <w:rFonts w:cs="Arial"/>
          <w:snapToGrid w:val="0"/>
          <w:sz w:val="22"/>
          <w:szCs w:val="22"/>
          <w:lang w:eastAsia="en-US"/>
        </w:rPr>
        <w:t>participating</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either</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individually</w:t>
      </w:r>
      <w:proofErr w:type="spellEnd"/>
      <w:r w:rsidRPr="0053782D">
        <w:rPr>
          <w:rFonts w:cs="Arial"/>
          <w:snapToGrid w:val="0"/>
          <w:sz w:val="22"/>
          <w:szCs w:val="22"/>
          <w:lang w:eastAsia="en-US"/>
        </w:rPr>
        <w:t xml:space="preserve"> or in a </w:t>
      </w:r>
      <w:proofErr w:type="spellStart"/>
      <w:r w:rsidRPr="0053782D">
        <w:rPr>
          <w:rFonts w:cs="Arial"/>
          <w:snapToGrid w:val="0"/>
          <w:sz w:val="22"/>
          <w:szCs w:val="22"/>
          <w:lang w:eastAsia="en-US"/>
        </w:rPr>
        <w:t>grouping</w:t>
      </w:r>
      <w:proofErr w:type="spellEnd"/>
      <w:r w:rsidRPr="0053782D">
        <w:rPr>
          <w:rFonts w:cs="Arial"/>
          <w:snapToGrid w:val="0"/>
          <w:sz w:val="22"/>
          <w:szCs w:val="22"/>
          <w:lang w:eastAsia="en-US"/>
        </w:rPr>
        <w:t> – consortium – of candidates/</w:t>
      </w:r>
      <w:proofErr w:type="spellStart"/>
      <w:r w:rsidRPr="0053782D">
        <w:rPr>
          <w:rFonts w:cs="Arial"/>
          <w:snapToGrid w:val="0"/>
          <w:sz w:val="22"/>
          <w:szCs w:val="22"/>
          <w:lang w:eastAsia="en-US"/>
        </w:rPr>
        <w:t>tenderers</w:t>
      </w:r>
      <w:proofErr w:type="spellEnd"/>
      <w:r w:rsidRPr="0053782D">
        <w:rPr>
          <w:rFonts w:cs="Arial"/>
          <w:snapToGrid w:val="0"/>
          <w:sz w:val="22"/>
          <w:szCs w:val="22"/>
          <w:lang w:eastAsia="en-US"/>
        </w:rPr>
        <w:t>) </w:t>
      </w:r>
      <w:proofErr w:type="spellStart"/>
      <w:r w:rsidRPr="0053782D">
        <w:rPr>
          <w:rFonts w:cs="Arial"/>
          <w:snapToGrid w:val="0"/>
          <w:sz w:val="22"/>
          <w:szCs w:val="22"/>
          <w:lang w:eastAsia="en-US"/>
        </w:rPr>
        <w:t>which</w:t>
      </w:r>
      <w:proofErr w:type="spellEnd"/>
      <w:r w:rsidRPr="0053782D">
        <w:rPr>
          <w:rFonts w:cs="Arial"/>
          <w:snapToGrid w:val="0"/>
          <w:sz w:val="22"/>
          <w:szCs w:val="22"/>
          <w:lang w:eastAsia="en-US"/>
        </w:rPr>
        <w:t xml:space="preserve"> are </w:t>
      </w:r>
      <w:proofErr w:type="spellStart"/>
      <w:r w:rsidRPr="0053782D">
        <w:rPr>
          <w:rFonts w:cs="Arial"/>
          <w:snapToGrid w:val="0"/>
          <w:sz w:val="22"/>
          <w:szCs w:val="22"/>
          <w:lang w:eastAsia="en-US"/>
        </w:rPr>
        <w:t>effectively</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established</w:t>
      </w:r>
      <w:proofErr w:type="spellEnd"/>
      <w:r w:rsidRPr="0053782D">
        <w:rPr>
          <w:rFonts w:cs="Arial"/>
          <w:snapToGrid w:val="0"/>
          <w:sz w:val="22"/>
          <w:szCs w:val="22"/>
          <w:lang w:eastAsia="en-US"/>
        </w:rPr>
        <w:t xml:space="preserve"> in a  </w:t>
      </w:r>
      <w:proofErr w:type="spellStart"/>
      <w:r w:rsidRPr="0053782D">
        <w:rPr>
          <w:rFonts w:cs="Arial"/>
          <w:snapToGrid w:val="0"/>
          <w:sz w:val="22"/>
          <w:szCs w:val="22"/>
          <w:lang w:eastAsia="en-US"/>
        </w:rPr>
        <w:t>Member</w:t>
      </w:r>
      <w:proofErr w:type="spellEnd"/>
      <w:r w:rsidRPr="0053782D">
        <w:rPr>
          <w:rFonts w:cs="Arial"/>
          <w:snapToGrid w:val="0"/>
          <w:sz w:val="22"/>
          <w:szCs w:val="22"/>
          <w:lang w:eastAsia="en-US"/>
        </w:rPr>
        <w:t xml:space="preserve"> State of the </w:t>
      </w:r>
      <w:proofErr w:type="spellStart"/>
      <w:r w:rsidRPr="0053782D">
        <w:rPr>
          <w:rFonts w:cs="Arial"/>
          <w:snapToGrid w:val="0"/>
          <w:sz w:val="22"/>
          <w:szCs w:val="22"/>
          <w:lang w:eastAsia="en-US"/>
        </w:rPr>
        <w:t>European</w:t>
      </w:r>
      <w:proofErr w:type="spellEnd"/>
      <w:r w:rsidRPr="0053782D">
        <w:rPr>
          <w:rFonts w:cs="Arial"/>
          <w:snapToGrid w:val="0"/>
          <w:sz w:val="22"/>
          <w:szCs w:val="22"/>
          <w:lang w:eastAsia="en-US"/>
        </w:rPr>
        <w:t xml:space="preserve"> Union or in a </w:t>
      </w:r>
      <w:proofErr w:type="spellStart"/>
      <w:r w:rsidRPr="0053782D">
        <w:rPr>
          <w:rFonts w:cs="Arial"/>
          <w:snapToGrid w:val="0"/>
          <w:sz w:val="22"/>
          <w:szCs w:val="22"/>
          <w:lang w:eastAsia="en-US"/>
        </w:rPr>
        <w:t>eligible</w:t>
      </w:r>
      <w:proofErr w:type="spellEnd"/>
      <w:r w:rsidRPr="0053782D">
        <w:rPr>
          <w:rFonts w:cs="Arial"/>
          <w:snapToGrid w:val="0"/>
          <w:sz w:val="22"/>
          <w:szCs w:val="22"/>
          <w:lang w:eastAsia="en-US"/>
        </w:rPr>
        <w:t xml:space="preserve"> country or </w:t>
      </w:r>
      <w:proofErr w:type="spellStart"/>
      <w:r w:rsidRPr="0053782D">
        <w:rPr>
          <w:rFonts w:cs="Arial"/>
          <w:snapToGrid w:val="0"/>
          <w:sz w:val="22"/>
          <w:szCs w:val="22"/>
          <w:lang w:eastAsia="en-US"/>
        </w:rPr>
        <w:t>territory</w:t>
      </w:r>
      <w:proofErr w:type="spellEnd"/>
      <w:r w:rsidRPr="0053782D">
        <w:rPr>
          <w:rFonts w:cs="Arial"/>
          <w:snapToGrid w:val="0"/>
          <w:sz w:val="22"/>
          <w:szCs w:val="22"/>
          <w:lang w:eastAsia="en-US"/>
        </w:rPr>
        <w:t xml:space="preserve"> as </w:t>
      </w:r>
      <w:proofErr w:type="spellStart"/>
      <w:r w:rsidRPr="0053782D">
        <w:rPr>
          <w:rFonts w:cs="Arial"/>
          <w:snapToGrid w:val="0"/>
          <w:sz w:val="22"/>
          <w:szCs w:val="22"/>
          <w:lang w:eastAsia="en-US"/>
        </w:rPr>
        <w:t>defined</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under</w:t>
      </w:r>
      <w:proofErr w:type="spellEnd"/>
      <w:r w:rsidRPr="0053782D">
        <w:rPr>
          <w:rFonts w:cs="Arial"/>
          <w:snapToGrid w:val="0"/>
          <w:sz w:val="22"/>
          <w:szCs w:val="22"/>
          <w:lang w:eastAsia="en-US"/>
        </w:rPr>
        <w:t> </w:t>
      </w:r>
      <w:r w:rsidRPr="0053782D">
        <w:rPr>
          <w:rFonts w:cs="Arial"/>
          <w:snapToGrid w:val="0"/>
          <w:sz w:val="22"/>
          <w:szCs w:val="22"/>
          <w:lang w:val="en-GB" w:eastAsia="en-US"/>
        </w:rPr>
        <w:t>Article 8 of Regulation </w:t>
      </w:r>
      <w:r w:rsidRPr="0053782D">
        <w:rPr>
          <w:rFonts w:cs="Arial"/>
          <w:snapToGrid w:val="0"/>
          <w:sz w:val="22"/>
          <w:szCs w:val="22"/>
          <w:lang w:eastAsia="en-US"/>
        </w:rPr>
        <w:t>(EU) No 236/2014 </w:t>
      </w:r>
      <w:r w:rsidRPr="0053782D">
        <w:rPr>
          <w:rFonts w:cs="Arial"/>
          <w:snapToGrid w:val="0"/>
          <w:sz w:val="22"/>
          <w:szCs w:val="22"/>
          <w:lang w:val="en-GB" w:eastAsia="en-US"/>
        </w:rPr>
        <w:t>establishing common rules and procedures for the implementation of the Union's instruments for external action (CIR) </w:t>
      </w:r>
      <w:r w:rsidRPr="0053782D">
        <w:rPr>
          <w:rFonts w:cs="Arial"/>
          <w:snapToGrid w:val="0"/>
          <w:sz w:val="22"/>
          <w:szCs w:val="22"/>
          <w:lang w:eastAsia="en-US"/>
        </w:rPr>
        <w:t xml:space="preserve">for the applicable instrument </w:t>
      </w:r>
      <w:proofErr w:type="spellStart"/>
      <w:r w:rsidRPr="0053782D">
        <w:rPr>
          <w:rFonts w:cs="Arial"/>
          <w:snapToGrid w:val="0"/>
          <w:sz w:val="22"/>
          <w:szCs w:val="22"/>
          <w:lang w:eastAsia="en-US"/>
        </w:rPr>
        <w:t>under</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which</w:t>
      </w:r>
      <w:proofErr w:type="spellEnd"/>
      <w:r w:rsidRPr="0053782D">
        <w:rPr>
          <w:rFonts w:cs="Arial"/>
          <w:snapToGrid w:val="0"/>
          <w:sz w:val="22"/>
          <w:szCs w:val="22"/>
          <w:lang w:eastAsia="en-US"/>
        </w:rPr>
        <w:t xml:space="preserve"> the </w:t>
      </w:r>
      <w:proofErr w:type="spellStart"/>
      <w:r w:rsidRPr="0053782D">
        <w:rPr>
          <w:rFonts w:cs="Arial"/>
          <w:snapToGrid w:val="0"/>
          <w:sz w:val="22"/>
          <w:szCs w:val="22"/>
          <w:lang w:eastAsia="en-US"/>
        </w:rPr>
        <w:t>contract</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is</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financed</w:t>
      </w:r>
      <w:proofErr w:type="spellEnd"/>
      <w:r w:rsidRPr="0053782D">
        <w:rPr>
          <w:snapToGrid w:val="0"/>
          <w:sz w:val="22"/>
          <w:szCs w:val="22"/>
          <w:lang w:val="en-GB" w:eastAsia="en-US"/>
        </w:rPr>
        <w:t>. </w:t>
      </w:r>
    </w:p>
    <w:p w14:paraId="2D383686" w14:textId="77777777" w:rsidR="008E7619" w:rsidRPr="0053782D" w:rsidRDefault="008E7619" w:rsidP="008E7619">
      <w:pPr>
        <w:pStyle w:val="paragraph"/>
        <w:spacing w:before="0" w:beforeAutospacing="0" w:after="0" w:afterAutospacing="0"/>
        <w:ind w:left="426"/>
        <w:jc w:val="both"/>
        <w:textAlignment w:val="baseline"/>
        <w:rPr>
          <w:snapToGrid w:val="0"/>
          <w:sz w:val="22"/>
          <w:szCs w:val="22"/>
          <w:lang w:val="en-GB" w:eastAsia="en-US"/>
        </w:rPr>
      </w:pPr>
      <w:r w:rsidRPr="0053782D">
        <w:rPr>
          <w:rFonts w:cs="Arial"/>
          <w:snapToGrid w:val="0"/>
          <w:sz w:val="22"/>
          <w:szCs w:val="22"/>
          <w:lang w:eastAsia="en-US"/>
        </w:rPr>
        <w:t xml:space="preserve">Participation </w:t>
      </w:r>
      <w:proofErr w:type="spellStart"/>
      <w:r w:rsidRPr="0053782D">
        <w:rPr>
          <w:rFonts w:cs="Arial"/>
          <w:snapToGrid w:val="0"/>
          <w:sz w:val="22"/>
          <w:szCs w:val="22"/>
          <w:lang w:eastAsia="en-US"/>
        </w:rPr>
        <w:t>is</w:t>
      </w:r>
      <w:proofErr w:type="spellEnd"/>
      <w:r w:rsidRPr="0053782D">
        <w:rPr>
          <w:rFonts w:cs="Arial"/>
          <w:snapToGrid w:val="0"/>
          <w:sz w:val="22"/>
          <w:szCs w:val="22"/>
          <w:lang w:eastAsia="en-US"/>
        </w:rPr>
        <w:t xml:space="preserve"> </w:t>
      </w:r>
      <w:proofErr w:type="spellStart"/>
      <w:r w:rsidRPr="0053782D">
        <w:rPr>
          <w:rFonts w:cs="Arial"/>
          <w:snapToGrid w:val="0"/>
          <w:sz w:val="22"/>
          <w:szCs w:val="22"/>
          <w:lang w:eastAsia="en-US"/>
        </w:rPr>
        <w:t>also</w:t>
      </w:r>
      <w:proofErr w:type="spellEnd"/>
      <w:r w:rsidRPr="0053782D">
        <w:rPr>
          <w:rFonts w:cs="Arial"/>
          <w:snapToGrid w:val="0"/>
          <w:sz w:val="22"/>
          <w:szCs w:val="22"/>
          <w:lang w:eastAsia="en-US"/>
        </w:rPr>
        <w:t xml:space="preserve"> open to international organisations.</w:t>
      </w:r>
    </w:p>
    <w:p w14:paraId="60906E52" w14:textId="77777777" w:rsidR="008E7619" w:rsidRDefault="008E7619" w:rsidP="008E7619">
      <w:pPr>
        <w:ind w:left="426"/>
        <w:jc w:val="both"/>
        <w:rPr>
          <w:rFonts w:cs="Arial"/>
          <w:sz w:val="22"/>
          <w:szCs w:val="22"/>
          <w:lang w:val="en-GB"/>
        </w:rPr>
      </w:pPr>
      <w:r w:rsidRPr="0053782D">
        <w:rPr>
          <w:rFonts w:cs="Arial"/>
          <w:sz w:val="22"/>
          <w:szCs w:val="22"/>
          <w:lang w:val="en-GB"/>
        </w:rPr>
        <w:t>Participation financed by the European Instrument for Democracy and Human Rights (EIDHR) and the Instrument contributing to Stability and Peace (</w:t>
      </w:r>
      <w:proofErr w:type="spellStart"/>
      <w:r w:rsidRPr="0053782D">
        <w:rPr>
          <w:rFonts w:cs="Arial"/>
          <w:sz w:val="22"/>
          <w:szCs w:val="22"/>
          <w:lang w:val="en-GB"/>
        </w:rPr>
        <w:t>IcSP</w:t>
      </w:r>
      <w:proofErr w:type="spellEnd"/>
      <w:r w:rsidRPr="0053782D">
        <w:rPr>
          <w:rFonts w:cs="Arial"/>
          <w:sz w:val="22"/>
          <w:szCs w:val="22"/>
          <w:lang w:val="en-GB"/>
        </w:rPr>
        <w:t>)</w:t>
      </w:r>
      <w:r w:rsidRPr="0053782D">
        <w:rPr>
          <w:rStyle w:val="DipnotBavurusu"/>
          <w:sz w:val="22"/>
          <w:szCs w:val="22"/>
          <w:lang w:val="en-GB"/>
        </w:rPr>
        <w:footnoteReference w:id="1"/>
      </w:r>
      <w:r w:rsidRPr="0053782D">
        <w:rPr>
          <w:rFonts w:cs="Arial"/>
          <w:sz w:val="22"/>
          <w:szCs w:val="22"/>
          <w:lang w:val="en-GB"/>
        </w:rPr>
        <w:t xml:space="preserve"> is fully untied</w:t>
      </w:r>
      <w:r w:rsidRPr="0053782D">
        <w:rPr>
          <w:rStyle w:val="DipnotBavurusu"/>
          <w:sz w:val="22"/>
          <w:szCs w:val="22"/>
        </w:rPr>
        <w:footnoteReference w:id="2"/>
      </w:r>
      <w:r w:rsidRPr="0053782D">
        <w:rPr>
          <w:rFonts w:cs="Arial"/>
          <w:sz w:val="22"/>
          <w:szCs w:val="22"/>
          <w:lang w:val="en-GB"/>
        </w:rPr>
        <w:t>.</w:t>
      </w:r>
      <w:r w:rsidRPr="006E6CA8">
        <w:rPr>
          <w:rFonts w:cs="Arial"/>
          <w:sz w:val="22"/>
          <w:szCs w:val="22"/>
          <w:lang w:val="en-GB"/>
        </w:rPr>
        <w:t xml:space="preserve"> </w:t>
      </w:r>
    </w:p>
    <w:p w14:paraId="1FE5301C" w14:textId="77777777" w:rsidR="008E7619" w:rsidRPr="0053782D" w:rsidRDefault="008E7619" w:rsidP="008E7619">
      <w:pPr>
        <w:pStyle w:val="paragraph"/>
        <w:spacing w:before="0" w:beforeAutospacing="0" w:after="0" w:afterAutospacing="0"/>
        <w:ind w:firstLine="450"/>
        <w:jc w:val="both"/>
        <w:textAlignment w:val="baseline"/>
        <w:rPr>
          <w:rFonts w:cs="Arial"/>
          <w:snapToGrid w:val="0"/>
          <w:sz w:val="22"/>
          <w:szCs w:val="22"/>
          <w:lang w:val="en-GB" w:eastAsia="en-US"/>
        </w:rPr>
      </w:pPr>
      <w:r w:rsidRPr="0053782D">
        <w:rPr>
          <w:rFonts w:cs="Arial"/>
          <w:b/>
          <w:bCs/>
          <w:snapToGrid w:val="0"/>
          <w:sz w:val="22"/>
          <w:szCs w:val="22"/>
          <w:u w:val="single"/>
          <w:lang w:eastAsia="en-US"/>
        </w:rPr>
        <w:t xml:space="preserve">All supplies </w:t>
      </w:r>
      <w:proofErr w:type="spellStart"/>
      <w:r w:rsidRPr="0053782D">
        <w:rPr>
          <w:rFonts w:cs="Arial"/>
          <w:b/>
          <w:bCs/>
          <w:snapToGrid w:val="0"/>
          <w:sz w:val="22"/>
          <w:szCs w:val="22"/>
          <w:u w:val="single"/>
          <w:lang w:eastAsia="en-US"/>
        </w:rPr>
        <w:t>under</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this</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contract</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may</w:t>
      </w:r>
      <w:proofErr w:type="spellEnd"/>
      <w:r w:rsidRPr="0053782D">
        <w:rPr>
          <w:rFonts w:cs="Arial"/>
          <w:b/>
          <w:bCs/>
          <w:snapToGrid w:val="0"/>
          <w:sz w:val="22"/>
          <w:szCs w:val="22"/>
          <w:u w:val="single"/>
          <w:lang w:eastAsia="en-US"/>
        </w:rPr>
        <w:t> </w:t>
      </w:r>
      <w:proofErr w:type="spellStart"/>
      <w:r w:rsidRPr="0053782D">
        <w:rPr>
          <w:rFonts w:cs="Arial"/>
          <w:b/>
          <w:bCs/>
          <w:snapToGrid w:val="0"/>
          <w:sz w:val="22"/>
          <w:szCs w:val="22"/>
          <w:u w:val="single"/>
          <w:lang w:eastAsia="en-US"/>
        </w:rPr>
        <w:t>originate</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from</w:t>
      </w:r>
      <w:proofErr w:type="spellEnd"/>
      <w:r w:rsidRPr="0053782D">
        <w:rPr>
          <w:rFonts w:cs="Arial"/>
          <w:b/>
          <w:bCs/>
          <w:snapToGrid w:val="0"/>
          <w:sz w:val="22"/>
          <w:szCs w:val="22"/>
          <w:u w:val="single"/>
          <w:lang w:eastAsia="en-US"/>
        </w:rPr>
        <w:t xml:space="preserve"> </w:t>
      </w:r>
      <w:proofErr w:type="spellStart"/>
      <w:r w:rsidRPr="0053782D">
        <w:rPr>
          <w:rFonts w:cs="Arial"/>
          <w:b/>
          <w:bCs/>
          <w:snapToGrid w:val="0"/>
          <w:sz w:val="22"/>
          <w:szCs w:val="22"/>
          <w:u w:val="single"/>
          <w:lang w:eastAsia="en-US"/>
        </w:rPr>
        <w:t>any</w:t>
      </w:r>
      <w:proofErr w:type="spellEnd"/>
      <w:r w:rsidRPr="0053782D">
        <w:rPr>
          <w:rFonts w:cs="Arial"/>
          <w:b/>
          <w:bCs/>
          <w:snapToGrid w:val="0"/>
          <w:sz w:val="22"/>
          <w:szCs w:val="22"/>
          <w:u w:val="single"/>
          <w:lang w:eastAsia="en-US"/>
        </w:rPr>
        <w:t xml:space="preserve"> country</w:t>
      </w:r>
      <w:r w:rsidRPr="0053782D">
        <w:rPr>
          <w:rFonts w:cs="Arial"/>
          <w:snapToGrid w:val="0"/>
          <w:sz w:val="22"/>
          <w:szCs w:val="22"/>
          <w:lang w:eastAsia="en-US"/>
        </w:rPr>
        <w:t>.</w:t>
      </w:r>
    </w:p>
    <w:p w14:paraId="3673605D" w14:textId="77777777" w:rsidR="008E7619" w:rsidRPr="00C348D5" w:rsidRDefault="008E7619" w:rsidP="008E7619">
      <w:pPr>
        <w:pStyle w:val="paragraph"/>
        <w:spacing w:before="0" w:beforeAutospacing="0" w:after="0" w:afterAutospacing="0"/>
        <w:jc w:val="both"/>
        <w:textAlignment w:val="baseline"/>
        <w:rPr>
          <w:rFonts w:ascii="Segoe UI" w:hAnsi="Segoe UI" w:cs="Segoe UI"/>
          <w:sz w:val="22"/>
          <w:szCs w:val="22"/>
          <w:lang w:val="en-US"/>
        </w:rPr>
      </w:pPr>
    </w:p>
    <w:p w14:paraId="0344A07D"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p>
    <w:p w14:paraId="7ACD8092"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w:t>
      </w:r>
    </w:p>
    <w:p w14:paraId="38CA64D7"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Agreement on the withdrawal of the United Kingdom of Great Britain and Northern Ireland from the European Union and the European Atomic Energy Community. </w:t>
      </w:r>
    </w:p>
    <w:p w14:paraId="478B69FE"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Regulation (EU) No 236/2014 of the European Parliament and of the Council of 11 March 2014 laying down common rules and procedures for the implementation of the Union's instruments for financing external action. </w:t>
      </w:r>
    </w:p>
    <w:p w14:paraId="4A6DFF9A"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lastRenderedPageBreak/>
        <w:t>*** Annex IV to the ACP-EU Partnership Agreement, as revised by Decision 1/2014 of the ACP-EU Council of Ministers (OJ L196/40, 3.7.2014). </w:t>
      </w:r>
    </w:p>
    <w:p w14:paraId="78F397F9" w14:textId="77777777" w:rsidR="008E7619" w:rsidRPr="0053782D" w:rsidRDefault="008E7619" w:rsidP="008E7619">
      <w:pPr>
        <w:pStyle w:val="paragraph"/>
        <w:spacing w:before="0" w:beforeAutospacing="0" w:after="0" w:afterAutospacing="0"/>
        <w:ind w:left="426"/>
        <w:jc w:val="both"/>
        <w:textAlignment w:val="baseline"/>
        <w:rPr>
          <w:rFonts w:cs="Arial"/>
          <w:snapToGrid w:val="0"/>
          <w:sz w:val="22"/>
          <w:szCs w:val="22"/>
          <w:lang w:val="en-GB" w:eastAsia="en-US"/>
        </w:rPr>
      </w:pPr>
      <w:r w:rsidRPr="0053782D">
        <w:rPr>
          <w:rFonts w:cs="Arial"/>
          <w:snapToGrid w:val="0"/>
          <w:sz w:val="22"/>
          <w:szCs w:val="22"/>
          <w:lang w:val="en-GB" w:eastAsia="en-US"/>
        </w:rPr>
        <w:t>**** Including the Overseas Countries and Territories having special relations with the United Kingdom, as laid down in Part Four and Annex II of the TFEU.</w:t>
      </w:r>
    </w:p>
    <w:p w14:paraId="21D2BECF" w14:textId="77777777" w:rsidR="00B9793F" w:rsidRPr="008660AD" w:rsidRDefault="00B9793F" w:rsidP="008E7619">
      <w:pPr>
        <w:outlineLvl w:val="0"/>
        <w:rPr>
          <w:rStyle w:val="Gl"/>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Gl"/>
          <w:sz w:val="22"/>
          <w:szCs w:val="22"/>
          <w:lang w:val="en-GB"/>
        </w:rPr>
        <w:t>1</w:t>
      </w:r>
      <w:r w:rsidR="00632BDC" w:rsidRPr="00B33EE6">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62FF8F53" w14:textId="77777777" w:rsidR="006F5FD0" w:rsidRPr="00DB7945"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w:t>
      </w:r>
      <w:proofErr w:type="gramStart"/>
      <w:r w:rsidRPr="00B33EE6">
        <w:rPr>
          <w:sz w:val="22"/>
          <w:szCs w:val="22"/>
          <w:lang w:val="en-GB"/>
        </w:rPr>
        <w:t>In the event that</w:t>
      </w:r>
      <w:proofErr w:type="gramEnd"/>
      <w:r w:rsidRPr="00B33EE6">
        <w:rPr>
          <w:sz w:val="22"/>
          <w:szCs w:val="22"/>
          <w:lang w:val="en-GB"/>
        </w:rPr>
        <w:t xml:space="preserve">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t>
      </w:r>
      <w:r w:rsidRPr="00DB7945">
        <w:rPr>
          <w:sz w:val="22"/>
          <w:szCs w:val="22"/>
          <w:lang w:val="en-GB"/>
        </w:rPr>
        <w:t xml:space="preserve">which that person has participated </w:t>
      </w:r>
      <w:r w:rsidR="00CB759D" w:rsidRPr="00DB7945">
        <w:rPr>
          <w:sz w:val="22"/>
          <w:szCs w:val="22"/>
          <w:lang w:val="en-GB"/>
        </w:rPr>
        <w:t>will</w:t>
      </w:r>
      <w:r w:rsidRPr="00DB7945">
        <w:rPr>
          <w:sz w:val="22"/>
          <w:szCs w:val="22"/>
          <w:lang w:val="en-GB"/>
        </w:rPr>
        <w:t xml:space="preserve"> be excluded.</w:t>
      </w:r>
    </w:p>
    <w:p w14:paraId="421D51D3" w14:textId="30B2F1C4" w:rsidR="00DB7945" w:rsidRPr="00DB7945" w:rsidRDefault="00DB7945" w:rsidP="00DB7945">
      <w:pPr>
        <w:pStyle w:val="Blockquote"/>
        <w:jc w:val="both"/>
        <w:rPr>
          <w:sz w:val="22"/>
          <w:szCs w:val="22"/>
          <w:lang w:val="en-GB"/>
        </w:rPr>
      </w:pPr>
      <w:r w:rsidRPr="00DB7945">
        <w:rPr>
          <w:sz w:val="22"/>
          <w:szCs w:val="22"/>
          <w:lang w:val="en-GB"/>
        </w:rPr>
        <w:t>No restrictions may be made in the number of lots a tenderer can be awarded.</w:t>
      </w:r>
    </w:p>
    <w:p w14:paraId="79D8D8FA" w14:textId="63D1B67A" w:rsidR="00DB7945" w:rsidRPr="00DB7945" w:rsidRDefault="00DB7945" w:rsidP="00DB7945">
      <w:pPr>
        <w:pStyle w:val="Blockquote"/>
        <w:jc w:val="both"/>
        <w:rPr>
          <w:sz w:val="22"/>
          <w:szCs w:val="22"/>
          <w:lang w:val="en-GB"/>
        </w:rPr>
      </w:pPr>
      <w:r w:rsidRPr="00DB7945">
        <w:rPr>
          <w:sz w:val="22"/>
          <w:szCs w:val="22"/>
          <w:lang w:val="en-GB"/>
        </w:rPr>
        <w:t xml:space="preserve">The tenderer may submit a tender for one lot only, several lots or </w:t>
      </w:r>
      <w:proofErr w:type="gramStart"/>
      <w:r w:rsidRPr="00DB7945">
        <w:rPr>
          <w:sz w:val="22"/>
          <w:szCs w:val="22"/>
          <w:lang w:val="en-GB"/>
        </w:rPr>
        <w:t>all of</w:t>
      </w:r>
      <w:proofErr w:type="gramEnd"/>
      <w:r w:rsidRPr="00DB7945">
        <w:rPr>
          <w:sz w:val="22"/>
          <w:szCs w:val="22"/>
          <w:lang w:val="en-GB"/>
        </w:rPr>
        <w:t xml:space="preserve"> the lots, but only one tender per lot. Contracts will be awarded lot by lot and each lot will form a separate contract.</w:t>
      </w:r>
    </w:p>
    <w:p w14:paraId="0F08DA0C" w14:textId="77777777" w:rsidR="00DB7945" w:rsidRPr="003319C5" w:rsidRDefault="00DB7945" w:rsidP="00DB7945">
      <w:pPr>
        <w:widowControl/>
        <w:snapToGrid w:val="0"/>
        <w:ind w:left="360" w:right="26"/>
        <w:jc w:val="both"/>
        <w:rPr>
          <w:rFonts w:eastAsia="Calibri"/>
          <w:i/>
          <w:iCs/>
          <w:snapToGrid/>
          <w:sz w:val="22"/>
          <w:szCs w:val="22"/>
          <w:lang w:val="en-GB"/>
        </w:rPr>
      </w:pPr>
      <w:r w:rsidRPr="00DB7945">
        <w:rPr>
          <w:sz w:val="22"/>
          <w:szCs w:val="22"/>
          <w:lang w:val="en-GB"/>
        </w:rPr>
        <w:t xml:space="preserve">Any tenderer may state in its tender that it would offer a discount </w:t>
      </w:r>
      <w:proofErr w:type="gramStart"/>
      <w:r w:rsidRPr="00DB7945">
        <w:rPr>
          <w:sz w:val="22"/>
          <w:szCs w:val="22"/>
          <w:lang w:val="en-GB"/>
        </w:rPr>
        <w:t>in the event that</w:t>
      </w:r>
      <w:proofErr w:type="gramEnd"/>
      <w:r w:rsidRPr="00DB7945">
        <w:rPr>
          <w:sz w:val="22"/>
          <w:szCs w:val="22"/>
          <w:lang w:val="en-GB"/>
        </w:rPr>
        <w:t xml:space="preserve"> its tender is accepted for more than one lot.</w:t>
      </w:r>
      <w:r w:rsidRPr="003F1149">
        <w:rPr>
          <w:sz w:val="22"/>
          <w:szCs w:val="22"/>
          <w:lang w:val="en-GB"/>
        </w:rPr>
        <w:t xml:space="preserve">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w:t>
      </w:r>
      <w:proofErr w:type="gramStart"/>
      <w:r w:rsidR="0039147E">
        <w:rPr>
          <w:sz w:val="22"/>
          <w:szCs w:val="22"/>
          <w:lang w:val="en-GB"/>
        </w:rPr>
        <w:t>at the moment</w:t>
      </w:r>
      <w:proofErr w:type="gramEnd"/>
      <w:r w:rsidR="0039147E">
        <w:rPr>
          <w:sz w:val="22"/>
          <w:szCs w:val="22"/>
          <w:lang w:val="en-GB"/>
        </w:rPr>
        <w:t xml:space="preserve">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2C010702" w14:textId="2690E391" w:rsidR="00E9047D" w:rsidRDefault="006D6080" w:rsidP="00584BF4">
      <w:pPr>
        <w:ind w:left="709" w:hanging="349"/>
        <w:outlineLvl w:val="0"/>
        <w:rPr>
          <w:rStyle w:val="Vurgu"/>
          <w:i w:val="0"/>
          <w:sz w:val="22"/>
          <w:szCs w:val="22"/>
          <w:lang w:val="en-GB"/>
        </w:rPr>
      </w:pPr>
      <w:r w:rsidRPr="00B33EE6">
        <w:rPr>
          <w:rStyle w:val="Vurgu"/>
          <w:i w:val="0"/>
          <w:sz w:val="22"/>
          <w:szCs w:val="22"/>
          <w:lang w:val="en-GB"/>
        </w:rPr>
        <w:t>Subcontracting is allowed</w:t>
      </w:r>
      <w:r w:rsidR="000C1101" w:rsidRPr="00B33EE6">
        <w:rPr>
          <w:rStyle w:val="Vurgu"/>
          <w:i w:val="0"/>
          <w:sz w:val="22"/>
          <w:szCs w:val="22"/>
          <w:lang w:val="en-GB"/>
        </w:rPr>
        <w:t>.</w:t>
      </w:r>
    </w:p>
    <w:p w14:paraId="3E76976B" w14:textId="77777777" w:rsidR="006F5FD0" w:rsidRPr="00B33EE6" w:rsidRDefault="008F4853">
      <w:pPr>
        <w:keepNext/>
        <w:jc w:val="center"/>
        <w:rPr>
          <w:sz w:val="28"/>
          <w:szCs w:val="28"/>
          <w:lang w:val="en-GB"/>
        </w:rPr>
      </w:pPr>
      <w:r>
        <w:rPr>
          <w:snapToGrid/>
          <w:sz w:val="22"/>
          <w:szCs w:val="22"/>
          <w:lang w:val="en-GB"/>
        </w:rPr>
        <w:pict w14:anchorId="11F7E59B">
          <v:line id="_x0000_s2052"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Gl"/>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4</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7C4EA8E0" w14:textId="36029926" w:rsidR="006F5FD0" w:rsidRPr="00B33EE6" w:rsidRDefault="0065706E" w:rsidP="00571687">
      <w:pPr>
        <w:pStyle w:val="Blockquote"/>
        <w:jc w:val="both"/>
        <w:rPr>
          <w:i/>
          <w:sz w:val="22"/>
          <w:szCs w:val="22"/>
          <w:lang w:val="en-GB"/>
        </w:rPr>
      </w:pPr>
      <w:r>
        <w:rPr>
          <w:rStyle w:val="Vurgu"/>
          <w:i w:val="0"/>
          <w:sz w:val="22"/>
          <w:szCs w:val="22"/>
          <w:lang w:val="en-GB"/>
        </w:rPr>
        <w:t>31</w:t>
      </w:r>
      <w:r w:rsidR="00993445">
        <w:rPr>
          <w:rStyle w:val="Vurgu"/>
          <w:i w:val="0"/>
          <w:sz w:val="22"/>
          <w:szCs w:val="22"/>
          <w:lang w:val="en-GB"/>
        </w:rPr>
        <w:t>.</w:t>
      </w:r>
      <w:r w:rsidR="00EC0B66">
        <w:rPr>
          <w:rStyle w:val="Vurgu"/>
          <w:i w:val="0"/>
          <w:sz w:val="22"/>
          <w:szCs w:val="22"/>
          <w:lang w:val="en-GB"/>
        </w:rPr>
        <w:t>07</w:t>
      </w:r>
      <w:r w:rsidR="00993445">
        <w:rPr>
          <w:rStyle w:val="Vurgu"/>
          <w:i w:val="0"/>
          <w:sz w:val="22"/>
          <w:szCs w:val="22"/>
          <w:lang w:val="en-GB"/>
        </w:rPr>
        <w:t>.202</w:t>
      </w:r>
      <w:r w:rsidR="00EC0B66">
        <w:rPr>
          <w:rStyle w:val="Vurgu"/>
          <w:i w:val="0"/>
          <w:sz w:val="22"/>
          <w:szCs w:val="22"/>
          <w:lang w:val="en-GB"/>
        </w:rPr>
        <w:t>3</w:t>
      </w:r>
    </w:p>
    <w:p w14:paraId="70B1A4AA" w14:textId="77777777" w:rsidR="006F5FD0" w:rsidRPr="00B33EE6" w:rsidRDefault="005639EC" w:rsidP="00571687">
      <w:pPr>
        <w:ind w:left="709" w:hanging="349"/>
        <w:outlineLvl w:val="0"/>
        <w:rPr>
          <w:sz w:val="22"/>
          <w:szCs w:val="22"/>
          <w:lang w:val="en-GB"/>
        </w:rPr>
      </w:pPr>
      <w:r w:rsidRPr="00B33EE6">
        <w:rPr>
          <w:rStyle w:val="Gl"/>
          <w:sz w:val="22"/>
          <w:szCs w:val="22"/>
          <w:lang w:val="en-GB"/>
        </w:rPr>
        <w:t>15</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619DDF2E" w14:textId="77777777" w:rsidR="00FD447F" w:rsidRPr="00B33EE6" w:rsidRDefault="00FD447F" w:rsidP="00FD447F">
      <w:pPr>
        <w:pStyle w:val="Blockquote"/>
        <w:jc w:val="both"/>
        <w:rPr>
          <w:i/>
          <w:sz w:val="22"/>
          <w:szCs w:val="22"/>
          <w:lang w:val="en-GB"/>
        </w:rPr>
      </w:pPr>
      <w:r w:rsidRPr="00456762">
        <w:rPr>
          <w:rStyle w:val="Vurgu"/>
          <w:i w:val="0"/>
          <w:sz w:val="22"/>
          <w:szCs w:val="22"/>
          <w:lang w:val="en-GB"/>
        </w:rPr>
        <w:t>90 days</w:t>
      </w:r>
    </w:p>
    <w:p w14:paraId="29CC7DD8" w14:textId="77777777" w:rsidR="006F5FD0" w:rsidRPr="00B33EE6" w:rsidRDefault="008F4853">
      <w:pPr>
        <w:rPr>
          <w:sz w:val="22"/>
          <w:szCs w:val="22"/>
          <w:lang w:val="en-GB"/>
        </w:rPr>
      </w:pPr>
      <w:r>
        <w:rPr>
          <w:snapToGrid/>
          <w:sz w:val="22"/>
          <w:szCs w:val="22"/>
          <w:lang w:val="en-GB"/>
        </w:rPr>
        <w:pict w14:anchorId="6E3015B7">
          <v:line id="_x0000_s2051" alt="" style="position:absolute;z-index:4;mso-wrap-edited:f;mso-width-percent:0;mso-height-percent:0;mso-width-percent:0;mso-height-percent: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Gl"/>
          <w:sz w:val="28"/>
          <w:szCs w:val="28"/>
          <w:lang w:val="en-GB"/>
        </w:rPr>
        <w:t>SELECTION AND AWARD CRITERIA</w:t>
      </w:r>
    </w:p>
    <w:p w14:paraId="392C793B" w14:textId="2D2CD701" w:rsidR="006F5FD0" w:rsidRDefault="005639EC" w:rsidP="00584BF4">
      <w:pPr>
        <w:ind w:left="709" w:hanging="349"/>
        <w:outlineLvl w:val="0"/>
        <w:rPr>
          <w:rStyle w:val="Gl"/>
          <w:sz w:val="22"/>
          <w:szCs w:val="22"/>
          <w:lang w:val="en-GB"/>
        </w:rPr>
      </w:pPr>
      <w:r w:rsidRPr="00B33EE6">
        <w:rPr>
          <w:rStyle w:val="Gl"/>
          <w:sz w:val="22"/>
          <w:szCs w:val="22"/>
          <w:lang w:val="en-GB"/>
        </w:rPr>
        <w:t>16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lastRenderedPageBreak/>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2157D48C" w14:textId="77777777" w:rsidR="00FD447F" w:rsidRDefault="00831982" w:rsidP="00FD447F">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Pr>
          <w:sz w:val="22"/>
          <w:szCs w:val="22"/>
          <w:lang w:val="en-GB"/>
        </w:rPr>
        <w:t>he performance of the contract.</w:t>
      </w:r>
    </w:p>
    <w:p w14:paraId="0D716E4E" w14:textId="6746C747" w:rsidR="006F5FD0" w:rsidRPr="00FD447F" w:rsidRDefault="006F5FD0" w:rsidP="00FD447F">
      <w:pPr>
        <w:widowControl/>
        <w:spacing w:before="240" w:after="0"/>
        <w:ind w:left="426"/>
        <w:jc w:val="both"/>
        <w:rPr>
          <w:sz w:val="22"/>
          <w:szCs w:val="22"/>
          <w:highlight w:val="yellow"/>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w:t>
      </w:r>
      <w:proofErr w:type="gramStart"/>
      <w:r w:rsidRPr="00B33EE6">
        <w:rPr>
          <w:sz w:val="22"/>
          <w:szCs w:val="22"/>
          <w:lang w:val="en-GB"/>
        </w:rPr>
        <w:t>as a whole</w:t>
      </w:r>
      <w:r w:rsidR="006751D2" w:rsidRPr="00B33EE6">
        <w:rPr>
          <w:sz w:val="22"/>
          <w:szCs w:val="22"/>
          <w:lang w:val="en-GB"/>
        </w:rPr>
        <w:t xml:space="preserve"> if</w:t>
      </w:r>
      <w:proofErr w:type="gramEnd"/>
      <w:r w:rsidR="006751D2" w:rsidRPr="00B33EE6">
        <w:rPr>
          <w:sz w:val="22"/>
          <w:szCs w:val="22"/>
          <w:lang w:val="en-GB"/>
        </w:rPr>
        <w:t xml:space="preserve"> not specified otherwise. The selection criteria will not be applied to natural persons and single-member companies when they are sub-contractors.</w:t>
      </w:r>
    </w:p>
    <w:p w14:paraId="6B78660D" w14:textId="77777777" w:rsidR="00A164DF" w:rsidRDefault="00A164DF" w:rsidP="00A164DF">
      <w:pPr>
        <w:pStyle w:val="Blockquote"/>
        <w:numPr>
          <w:ilvl w:val="0"/>
          <w:numId w:val="45"/>
        </w:numPr>
        <w:ind w:right="357"/>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three </w:t>
      </w:r>
      <w:r>
        <w:rPr>
          <w:sz w:val="22"/>
          <w:szCs w:val="22"/>
          <w:lang w:val="en-GB"/>
        </w:rPr>
        <w:t xml:space="preserve">financial </w:t>
      </w:r>
      <w:r w:rsidRPr="00B33EE6">
        <w:rPr>
          <w:sz w:val="22"/>
          <w:szCs w:val="22"/>
          <w:lang w:val="en-GB"/>
        </w:rPr>
        <w:t>years for which accounts have been closed.</w:t>
      </w:r>
    </w:p>
    <w:p w14:paraId="04EFE67B" w14:textId="77777777" w:rsidR="00A164DF" w:rsidRDefault="00A164DF" w:rsidP="00A164DF">
      <w:pPr>
        <w:pStyle w:val="Blockquote"/>
        <w:ind w:left="357" w:right="357"/>
        <w:jc w:val="both"/>
        <w:rPr>
          <w:sz w:val="22"/>
          <w:szCs w:val="22"/>
        </w:rPr>
      </w:pPr>
      <w:r w:rsidRPr="0053782D">
        <w:rPr>
          <w:sz w:val="22"/>
          <w:szCs w:val="22"/>
        </w:rPr>
        <w:t>The selection criteria for each tenderer are as follows:</w:t>
      </w:r>
    </w:p>
    <w:p w14:paraId="0269A393" w14:textId="77777777" w:rsidR="00A164DF" w:rsidRDefault="00A164DF" w:rsidP="00A164DF">
      <w:pPr>
        <w:numPr>
          <w:ilvl w:val="0"/>
          <w:numId w:val="46"/>
        </w:numPr>
        <w:pBdr>
          <w:top w:val="nil"/>
          <w:left w:val="nil"/>
          <w:bottom w:val="nil"/>
          <w:right w:val="nil"/>
          <w:between w:val="nil"/>
        </w:pBdr>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29B4FC4B" w14:textId="77777777" w:rsidR="00A164DF" w:rsidRPr="00B33EE6" w:rsidRDefault="00A164DF" w:rsidP="00A164DF">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1F3FA470" w14:textId="77777777" w:rsidR="00A164DF" w:rsidRDefault="00A164DF" w:rsidP="00A164DF">
      <w:pPr>
        <w:pStyle w:val="Blockquote"/>
        <w:ind w:right="357" w:hanging="3"/>
        <w:jc w:val="both"/>
        <w:rPr>
          <w:sz w:val="22"/>
          <w:szCs w:val="22"/>
          <w:lang w:val="en-GB"/>
        </w:rPr>
      </w:pPr>
      <w:r w:rsidRPr="00B33EE6">
        <w:rPr>
          <w:sz w:val="22"/>
          <w:szCs w:val="22"/>
          <w:lang w:val="en-GB"/>
        </w:rPr>
        <w:t xml:space="preserve">The reference period which will be </w:t>
      </w:r>
      <w:proofErr w:type="gramStart"/>
      <w:r w:rsidRPr="00B33EE6">
        <w:rPr>
          <w:sz w:val="22"/>
          <w:szCs w:val="22"/>
          <w:lang w:val="en-GB"/>
        </w:rPr>
        <w:t>taken into account</w:t>
      </w:r>
      <w:proofErr w:type="gramEnd"/>
      <w:r w:rsidRPr="00B33EE6">
        <w:rPr>
          <w:sz w:val="22"/>
          <w:szCs w:val="22"/>
          <w:lang w:val="en-GB"/>
        </w:rPr>
        <w:t xml:space="preserve"> will be the last </w:t>
      </w:r>
      <w:r w:rsidRPr="00C867B9">
        <w:rPr>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67942956" w14:textId="77777777" w:rsidR="00A164DF" w:rsidRPr="00B33581" w:rsidRDefault="00A164DF" w:rsidP="00A164DF">
      <w:pPr>
        <w:pStyle w:val="Blockquote"/>
        <w:ind w:firstLine="360"/>
        <w:jc w:val="both"/>
        <w:rPr>
          <w:sz w:val="22"/>
          <w:szCs w:val="22"/>
          <w:u w:val="single"/>
          <w:lang w:val="en-GB"/>
        </w:rPr>
      </w:pPr>
      <w:r w:rsidRPr="00B33581">
        <w:rPr>
          <w:sz w:val="22"/>
          <w:szCs w:val="22"/>
          <w:u w:val="single"/>
          <w:lang w:val="en-GB"/>
        </w:rPr>
        <w:t xml:space="preserve">Criteria for legal persons: </w:t>
      </w:r>
      <w:r w:rsidRPr="00B33581" w:rsidDel="006C0EB6">
        <w:rPr>
          <w:sz w:val="22"/>
          <w:szCs w:val="22"/>
          <w:u w:val="single"/>
          <w:lang w:val="en-GB"/>
        </w:rPr>
        <w:t xml:space="preserve"> </w:t>
      </w:r>
    </w:p>
    <w:p w14:paraId="3A02C17A" w14:textId="77777777" w:rsidR="00A164DF" w:rsidRDefault="00A164DF" w:rsidP="00A164DF">
      <w:pPr>
        <w:numPr>
          <w:ilvl w:val="0"/>
          <w:numId w:val="46"/>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working for the tenderer in fields related to this </w:t>
      </w:r>
      <w:proofErr w:type="gramStart"/>
      <w:r>
        <w:rPr>
          <w:color w:val="000000"/>
          <w:sz w:val="22"/>
          <w:szCs w:val="22"/>
        </w:rPr>
        <w:t>contract;</w:t>
      </w:r>
      <w:proofErr w:type="gramEnd"/>
      <w:r>
        <w:rPr>
          <w:color w:val="000000"/>
          <w:sz w:val="22"/>
          <w:szCs w:val="22"/>
        </w:rPr>
        <w:t xml:space="preserve"> </w:t>
      </w:r>
    </w:p>
    <w:p w14:paraId="16C53B1E" w14:textId="77777777" w:rsidR="00A164DF" w:rsidRPr="00B33581" w:rsidRDefault="00A164DF" w:rsidP="00A164DF">
      <w:pPr>
        <w:pStyle w:val="Blockquote"/>
        <w:tabs>
          <w:tab w:val="left" w:pos="284"/>
        </w:tabs>
        <w:ind w:left="720"/>
        <w:jc w:val="both"/>
        <w:rPr>
          <w:sz w:val="22"/>
          <w:szCs w:val="22"/>
          <w:u w:val="single"/>
          <w:lang w:val="en-GB"/>
        </w:rPr>
      </w:pPr>
      <w:r w:rsidRPr="00B33581">
        <w:rPr>
          <w:sz w:val="22"/>
          <w:szCs w:val="22"/>
          <w:u w:val="single"/>
          <w:lang w:val="en-GB"/>
        </w:rPr>
        <w:t xml:space="preserve">Criteria for natural persons: </w:t>
      </w:r>
      <w:r w:rsidRPr="00B33581" w:rsidDel="006C0EB6">
        <w:rPr>
          <w:sz w:val="22"/>
          <w:szCs w:val="22"/>
          <w:u w:val="single"/>
          <w:lang w:val="en-GB"/>
        </w:rPr>
        <w:t xml:space="preserve"> </w:t>
      </w:r>
    </w:p>
    <w:p w14:paraId="2779A08D" w14:textId="77777777" w:rsidR="00A164DF" w:rsidRDefault="00A164DF" w:rsidP="00A164DF">
      <w:pPr>
        <w:numPr>
          <w:ilvl w:val="0"/>
          <w:numId w:val="46"/>
        </w:numPr>
        <w:pBdr>
          <w:top w:val="nil"/>
          <w:left w:val="nil"/>
          <w:bottom w:val="nil"/>
          <w:right w:val="nil"/>
          <w:between w:val="nil"/>
        </w:pBdr>
        <w:rPr>
          <w:color w:val="000000"/>
          <w:sz w:val="22"/>
          <w:szCs w:val="22"/>
        </w:rPr>
      </w:pPr>
      <w:r>
        <w:rPr>
          <w:color w:val="000000"/>
          <w:sz w:val="22"/>
          <w:szCs w:val="22"/>
        </w:rPr>
        <w:t>is currently working/ has worked during the last three years as a manager/team-leader or collaborator in fields related to this contract.</w:t>
      </w:r>
    </w:p>
    <w:p w14:paraId="001112F9" w14:textId="77777777" w:rsidR="00A164DF" w:rsidRPr="00B33EE6" w:rsidRDefault="00A164DF" w:rsidP="00A164DF">
      <w:pPr>
        <w:pStyle w:val="Blockquote"/>
        <w:ind w:left="720" w:right="357" w:hanging="360"/>
        <w:jc w:val="both"/>
        <w:rPr>
          <w:sz w:val="22"/>
          <w:szCs w:val="22"/>
          <w:lang w:val="en-GB"/>
        </w:rPr>
      </w:pPr>
      <w:r w:rsidRPr="0053782D">
        <w:rPr>
          <w:b/>
          <w:sz w:val="22"/>
          <w:szCs w:val="22"/>
          <w:u w:val="single"/>
          <w:lang w:val="en-GB"/>
        </w:rPr>
        <w:t>3)</w:t>
      </w:r>
      <w:r w:rsidRPr="0053782D">
        <w:rPr>
          <w:b/>
          <w:sz w:val="22"/>
          <w:szCs w:val="22"/>
          <w:u w:val="single"/>
          <w:lang w:val="en-GB"/>
        </w:rPr>
        <w:tab/>
        <w:t xml:space="preserve">Technical capacity of tenderer </w:t>
      </w:r>
      <w:r w:rsidRPr="0053782D">
        <w:rPr>
          <w:sz w:val="22"/>
          <w:szCs w:val="22"/>
          <w:lang w:val="en-GB"/>
        </w:rPr>
        <w:t xml:space="preserve">(based on items 5 and 6 of the tender form). The reference period which will be </w:t>
      </w:r>
      <w:proofErr w:type="gramStart"/>
      <w:r w:rsidRPr="0053782D">
        <w:rPr>
          <w:sz w:val="22"/>
          <w:szCs w:val="22"/>
          <w:lang w:val="en-GB"/>
        </w:rPr>
        <w:t>taken into account</w:t>
      </w:r>
      <w:proofErr w:type="gramEnd"/>
      <w:r w:rsidRPr="0053782D">
        <w:rPr>
          <w:sz w:val="22"/>
          <w:szCs w:val="22"/>
          <w:lang w:val="en-GB"/>
        </w:rPr>
        <w:t xml:space="preserve"> will be the last three years preceding the submission deadline.</w:t>
      </w:r>
    </w:p>
    <w:p w14:paraId="5FD80D2F" w14:textId="3D2C529F" w:rsidR="006B6076" w:rsidRPr="006B6076" w:rsidRDefault="006B6076" w:rsidP="006B6076">
      <w:pPr>
        <w:numPr>
          <w:ilvl w:val="0"/>
          <w:numId w:val="47"/>
        </w:numPr>
        <w:spacing w:before="240" w:after="0"/>
        <w:ind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67053663" w14:textId="63FC4460" w:rsidR="00CB2A5B" w:rsidRDefault="00CB2A5B" w:rsidP="008660AD">
      <w:pPr>
        <w:pStyle w:val="Blockquote"/>
        <w:tabs>
          <w:tab w:val="left" w:pos="284"/>
        </w:tabs>
        <w:jc w:val="both"/>
        <w:rPr>
          <w:sz w:val="22"/>
          <w:szCs w:val="22"/>
          <w:lang w:val="en-GB"/>
        </w:rPr>
      </w:pPr>
      <w:r w:rsidRPr="00CB2A5B">
        <w:rPr>
          <w:sz w:val="22"/>
          <w:szCs w:val="22"/>
          <w:lang w:val="en-GB"/>
        </w:rPr>
        <w:lastRenderedPageBreak/>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Gl"/>
          <w:sz w:val="22"/>
          <w:szCs w:val="22"/>
          <w:lang w:val="en-GB"/>
        </w:rPr>
        <w:t>17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576FDB42" w14:textId="107ED2B3"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p>
    <w:p w14:paraId="793B56EE" w14:textId="77777777" w:rsidR="006F5FD0" w:rsidRPr="00B33EE6" w:rsidRDefault="008F4853">
      <w:pPr>
        <w:rPr>
          <w:sz w:val="22"/>
          <w:szCs w:val="22"/>
          <w:lang w:val="en-GB"/>
        </w:rPr>
      </w:pPr>
      <w:r>
        <w:rPr>
          <w:snapToGrid/>
          <w:sz w:val="22"/>
          <w:szCs w:val="22"/>
          <w:lang w:val="en-GB"/>
        </w:rPr>
        <w:pict w14:anchorId="45BE0657">
          <v:line id="_x0000_s2050"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Gl"/>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Gl"/>
          <w:sz w:val="22"/>
          <w:szCs w:val="22"/>
          <w:lang w:val="en-GB"/>
        </w:rPr>
        <w:t>18</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61DD2F00" w14:textId="3E4C69E7" w:rsidR="006F5FD0" w:rsidRPr="00B33EE6" w:rsidRDefault="00994EA3">
      <w:pPr>
        <w:pStyle w:val="Blockquote"/>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w:t>
      </w:r>
      <w:r w:rsidR="00A053C8">
        <w:rPr>
          <w:rStyle w:val="Vurgu"/>
          <w:i w:val="0"/>
          <w:sz w:val="22"/>
          <w:szCs w:val="22"/>
          <w:lang w:val="en-GB"/>
        </w:rPr>
        <w:t>0</w:t>
      </w:r>
      <w:r w:rsidR="006965CB">
        <w:rPr>
          <w:rStyle w:val="Vurgu"/>
          <w:i w:val="0"/>
          <w:sz w:val="22"/>
          <w:szCs w:val="22"/>
          <w:lang w:val="en-GB"/>
        </w:rPr>
        <w:t>7</w:t>
      </w:r>
      <w:r w:rsidR="006B6076">
        <w:rPr>
          <w:rStyle w:val="Vurgu"/>
          <w:i w:val="0"/>
          <w:sz w:val="22"/>
          <w:szCs w:val="22"/>
          <w:lang w:val="en-GB"/>
        </w:rPr>
        <w:t>.</w:t>
      </w:r>
      <w:r w:rsidR="00A053C8">
        <w:rPr>
          <w:rStyle w:val="Vurgu"/>
          <w:i w:val="0"/>
          <w:sz w:val="22"/>
          <w:szCs w:val="22"/>
          <w:lang w:val="en-GB"/>
        </w:rPr>
        <w:t>07</w:t>
      </w:r>
      <w:r w:rsidR="006B6076">
        <w:rPr>
          <w:rStyle w:val="Vurgu"/>
          <w:i w:val="0"/>
          <w:sz w:val="22"/>
          <w:szCs w:val="22"/>
          <w:lang w:val="en-GB"/>
        </w:rPr>
        <w:t>.202</w:t>
      </w:r>
      <w:r w:rsidR="00EC0B66">
        <w:rPr>
          <w:rStyle w:val="Vurgu"/>
          <w:i w:val="0"/>
          <w:sz w:val="22"/>
          <w:szCs w:val="22"/>
          <w:lang w:val="en-GB"/>
        </w:rPr>
        <w:t>3</w:t>
      </w:r>
      <w:r w:rsidR="006B6076">
        <w:rPr>
          <w:rStyle w:val="Vurgu"/>
          <w:i w:val="0"/>
          <w:sz w:val="22"/>
          <w:szCs w:val="22"/>
          <w:lang w:val="en-GB"/>
        </w:rPr>
        <w:t>; 17:00h</w:t>
      </w:r>
      <w:r w:rsidRPr="00B33EE6">
        <w:rPr>
          <w:rStyle w:val="Vurgu"/>
          <w:i w:val="0"/>
          <w:sz w:val="22"/>
          <w:szCs w:val="22"/>
          <w:lang w:val="en-GB"/>
        </w:rPr>
        <w:t>.</w:t>
      </w:r>
      <w:r w:rsidRPr="00B33EE6" w:rsidDel="00994EA3">
        <w:rPr>
          <w:rStyle w:val="Vurgu"/>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771F85">
        <w:rPr>
          <w:rStyle w:val="Gl"/>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6646FBA2" w:rsidR="004D5EDB" w:rsidRPr="00886ED7" w:rsidRDefault="00886ED7" w:rsidP="004D5EDB">
      <w:pPr>
        <w:pStyle w:val="Blockquote"/>
        <w:jc w:val="both"/>
        <w:rPr>
          <w:sz w:val="22"/>
          <w:szCs w:val="22"/>
          <w:lang w:val="en-GB"/>
        </w:rPr>
      </w:pPr>
      <w:r w:rsidRPr="002E25ED">
        <w:rPr>
          <w:sz w:val="22"/>
          <w:szCs w:val="22"/>
          <w:lang w:val="en-GB"/>
        </w:rPr>
        <w:t xml:space="preserve"> </w:t>
      </w:r>
      <w:hyperlink r:id="rId11" w:anchor="Annexes-AnnexesA(Ch.2):General" w:history="1">
        <w:r w:rsidRPr="002E25ED">
          <w:rPr>
            <w:rStyle w:val="Kpr"/>
            <w:sz w:val="22"/>
            <w:szCs w:val="22"/>
            <w:lang w:val="en-GB"/>
          </w:rPr>
          <w:t>https://wikis.ec.europa.eu/display/ExactExternalWiki/Annexes#Annexes-AnnexesA(Ch.2):General</w:t>
        </w:r>
      </w:hyperlink>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Gl"/>
          <w:sz w:val="22"/>
          <w:szCs w:val="22"/>
          <w:lang w:val="en-GB"/>
        </w:rPr>
        <w:t>2</w:t>
      </w:r>
      <w:r w:rsidR="006714ED"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How </w:t>
      </w:r>
      <w:r w:rsidR="006714ED" w:rsidRPr="00B33EE6">
        <w:rPr>
          <w:rStyle w:val="Gl"/>
          <w:sz w:val="22"/>
          <w:szCs w:val="22"/>
          <w:lang w:val="en-GB"/>
        </w:rPr>
        <w:t>tenders</w:t>
      </w:r>
      <w:r w:rsidRPr="00B33EE6">
        <w:rPr>
          <w:rStyle w:val="Gl"/>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Gl"/>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Gl"/>
          <w:sz w:val="22"/>
          <w:szCs w:val="22"/>
          <w:lang w:val="en-GB"/>
        </w:rPr>
        <w:t>2</w:t>
      </w:r>
      <w:r w:rsidR="006714ED" w:rsidRPr="00B33EE6">
        <w:rPr>
          <w:rStyle w:val="Gl"/>
          <w:sz w:val="22"/>
          <w:szCs w:val="22"/>
          <w:lang w:val="en-GB"/>
        </w:rPr>
        <w:t>1</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w:t>
      </w:r>
      <w:r w:rsidR="003262FC" w:rsidRPr="00B33EE6">
        <w:rPr>
          <w:sz w:val="22"/>
          <w:szCs w:val="22"/>
          <w:lang w:val="en-GB"/>
        </w:rPr>
        <w:lastRenderedPageBreak/>
        <w:t xml:space="preserve">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Gl"/>
          <w:sz w:val="22"/>
          <w:szCs w:val="22"/>
          <w:lang w:val="en-GB"/>
        </w:rPr>
        <w:t>2</w:t>
      </w:r>
      <w:r w:rsidR="006714ED" w:rsidRPr="00B33EE6">
        <w:rPr>
          <w:rStyle w:val="Gl"/>
          <w:sz w:val="22"/>
          <w:szCs w:val="22"/>
          <w:lang w:val="en-GB"/>
        </w:rPr>
        <w:t>2</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Vurgu"/>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43A63FCD" w14:textId="06BEB982" w:rsidR="006B6076" w:rsidRPr="008660AD" w:rsidRDefault="006B6076" w:rsidP="006B6076">
      <w:pPr>
        <w:widowControl/>
        <w:snapToGrid w:val="0"/>
        <w:spacing w:after="0"/>
        <w:ind w:left="284" w:right="360"/>
        <w:jc w:val="both"/>
        <w:rPr>
          <w:sz w:val="22"/>
          <w:szCs w:val="22"/>
          <w:lang w:val="en-GB"/>
        </w:rPr>
      </w:pPr>
      <w:r w:rsidRPr="0053782D">
        <w:rPr>
          <w:sz w:val="22"/>
          <w:szCs w:val="22"/>
          <w:lang w:val="en-GB"/>
        </w:rPr>
        <w:t>Financial data to be provided by the candidate in</w:t>
      </w:r>
      <w:r>
        <w:rPr>
          <w:sz w:val="22"/>
          <w:szCs w:val="22"/>
          <w:lang w:val="en-GB"/>
        </w:rPr>
        <w:t xml:space="preserve"> the standard application form </w:t>
      </w:r>
      <w:r w:rsidRPr="0053782D">
        <w:rPr>
          <w:sz w:val="22"/>
          <w:szCs w:val="22"/>
          <w:lang w:val="en-GB"/>
        </w:rPr>
        <w:t xml:space="preserve">must be expressed in EUR. If applicable, where a candidate refers to amounts originally expressed in a different currency, the conversion to EUR shall be made in accordance with the </w:t>
      </w:r>
      <w:proofErr w:type="spellStart"/>
      <w:r w:rsidRPr="0053782D">
        <w:rPr>
          <w:sz w:val="22"/>
          <w:szCs w:val="22"/>
          <w:lang w:val="en-GB"/>
        </w:rPr>
        <w:t>InforEuro</w:t>
      </w:r>
      <w:proofErr w:type="spellEnd"/>
      <w:r w:rsidRPr="0053782D">
        <w:rPr>
          <w:sz w:val="22"/>
          <w:szCs w:val="22"/>
          <w:lang w:val="en-GB"/>
        </w:rPr>
        <w:t xml:space="preserve"> exchange rate of </w:t>
      </w:r>
      <w:r w:rsidR="00521541">
        <w:rPr>
          <w:sz w:val="22"/>
          <w:szCs w:val="22"/>
          <w:lang w:val="en-GB"/>
        </w:rPr>
        <w:t>July</w:t>
      </w:r>
      <w:r w:rsidRPr="0053782D">
        <w:rPr>
          <w:sz w:val="22"/>
          <w:szCs w:val="22"/>
          <w:lang w:val="en-GB"/>
        </w:rPr>
        <w:t>, 202</w:t>
      </w:r>
      <w:r w:rsidR="00521541">
        <w:rPr>
          <w:sz w:val="22"/>
          <w:szCs w:val="22"/>
          <w:lang w:val="en-GB"/>
        </w:rPr>
        <w:t>3</w:t>
      </w:r>
      <w:r w:rsidRPr="0053782D">
        <w:rPr>
          <w:sz w:val="22"/>
          <w:szCs w:val="22"/>
          <w:lang w:val="en-GB"/>
        </w:rPr>
        <w:t xml:space="preserve">, which can be found at the following address: </w:t>
      </w:r>
      <w:hyperlink r:id="rId12" w:history="1">
        <w:r w:rsidRPr="0053782D">
          <w:rPr>
            <w:rStyle w:val="Kpr"/>
            <w:sz w:val="22"/>
            <w:szCs w:val="22"/>
            <w:lang w:val="en-GB"/>
          </w:rPr>
          <w:t>http://ec.europa.eu/budget/graphs/inforeuro.html</w:t>
        </w:r>
      </w:hyperlink>
      <w:r w:rsidRPr="0053782D">
        <w:rPr>
          <w:sz w:val="22"/>
          <w:szCs w:val="22"/>
          <w:lang w:val="en-GB"/>
        </w:rPr>
        <w:t>.</w:t>
      </w:r>
    </w:p>
    <w:p w14:paraId="4A4186FD" w14:textId="121C7549" w:rsidR="00AF412E" w:rsidRDefault="006B6076" w:rsidP="0069021C">
      <w:pPr>
        <w:pStyle w:val="Blockquote"/>
        <w:ind w:left="0" w:firstLine="270"/>
        <w:jc w:val="both"/>
        <w:rPr>
          <w:sz w:val="22"/>
          <w:szCs w:val="22"/>
          <w:lang w:val="en-GB"/>
        </w:rPr>
      </w:pPr>
      <w:r w:rsidRPr="001C607A">
        <w:rPr>
          <w:sz w:val="22"/>
          <w:szCs w:val="22"/>
          <w:u w:val="single"/>
          <w:lang w:val="en-GB"/>
        </w:rPr>
        <w:t>Opening hours</w:t>
      </w:r>
      <w:r w:rsidRPr="00B33581">
        <w:rPr>
          <w:sz w:val="22"/>
          <w:szCs w:val="22"/>
          <w:lang w:val="en-GB"/>
        </w:rPr>
        <w:t xml:space="preserve"> of the contracting authority: </w:t>
      </w:r>
      <w:r w:rsidR="00B0650E">
        <w:rPr>
          <w:sz w:val="22"/>
          <w:szCs w:val="22"/>
          <w:lang w:val="en-GB"/>
        </w:rPr>
        <w:t>9</w:t>
      </w:r>
      <w:r w:rsidRPr="00B33581">
        <w:rPr>
          <w:sz w:val="22"/>
          <w:szCs w:val="22"/>
          <w:lang w:val="en-GB"/>
        </w:rPr>
        <w:t>:</w:t>
      </w:r>
      <w:r w:rsidR="00B0650E">
        <w:rPr>
          <w:sz w:val="22"/>
          <w:szCs w:val="22"/>
          <w:lang w:val="en-GB"/>
        </w:rPr>
        <w:t>0</w:t>
      </w:r>
      <w:r w:rsidRPr="00B33581">
        <w:rPr>
          <w:sz w:val="22"/>
          <w:szCs w:val="22"/>
          <w:lang w:val="en-GB"/>
        </w:rPr>
        <w:t xml:space="preserve">0 – </w:t>
      </w:r>
      <w:r w:rsidR="00B0650E">
        <w:rPr>
          <w:sz w:val="22"/>
          <w:szCs w:val="22"/>
          <w:lang w:val="en-GB"/>
        </w:rPr>
        <w:t>17</w:t>
      </w:r>
      <w:r w:rsidRPr="00B33581">
        <w:rPr>
          <w:sz w:val="22"/>
          <w:szCs w:val="22"/>
          <w:lang w:val="en-GB"/>
        </w:rPr>
        <w:t>:</w:t>
      </w:r>
      <w:r w:rsidR="00B0650E">
        <w:rPr>
          <w:sz w:val="22"/>
          <w:szCs w:val="22"/>
          <w:lang w:val="en-GB"/>
        </w:rPr>
        <w:t>3</w:t>
      </w:r>
      <w:r w:rsidRPr="00B33581">
        <w:rPr>
          <w:sz w:val="22"/>
          <w:szCs w:val="22"/>
          <w:lang w:val="en-GB"/>
        </w:rPr>
        <w:t>0 every working day</w:t>
      </w:r>
      <w:r>
        <w:rPr>
          <w:sz w:val="22"/>
          <w:szCs w:val="22"/>
          <w:lang w:val="en-GB"/>
        </w:rPr>
        <w:t>.</w:t>
      </w:r>
    </w:p>
    <w:p w14:paraId="3A77728A" w14:textId="2F456ACA" w:rsidR="00E55CCF" w:rsidRPr="00B33581" w:rsidRDefault="00E55CCF" w:rsidP="00E55CCF">
      <w:pPr>
        <w:pStyle w:val="Blockquote"/>
        <w:ind w:left="270"/>
        <w:jc w:val="both"/>
        <w:rPr>
          <w:sz w:val="22"/>
          <w:szCs w:val="22"/>
          <w:lang w:val="en-GB"/>
        </w:rPr>
      </w:pPr>
      <w:r w:rsidRPr="001C607A">
        <w:rPr>
          <w:sz w:val="22"/>
          <w:szCs w:val="22"/>
          <w:u w:val="single"/>
          <w:lang w:val="en-GB"/>
        </w:rPr>
        <w:t xml:space="preserve">Date and venue of the tender </w:t>
      </w:r>
      <w:r w:rsidRPr="0069021C">
        <w:rPr>
          <w:sz w:val="22"/>
          <w:szCs w:val="22"/>
          <w:u w:val="single"/>
          <w:lang w:val="en-GB"/>
        </w:rPr>
        <w:t>opening session</w:t>
      </w:r>
      <w:r w:rsidRPr="0069021C">
        <w:rPr>
          <w:sz w:val="22"/>
          <w:szCs w:val="22"/>
          <w:lang w:val="en-GB"/>
        </w:rPr>
        <w:t xml:space="preserve">: </w:t>
      </w:r>
      <w:r w:rsidR="003330E7">
        <w:rPr>
          <w:sz w:val="22"/>
          <w:szCs w:val="22"/>
          <w:lang w:val="en-GB"/>
        </w:rPr>
        <w:t>1</w:t>
      </w:r>
      <w:r w:rsidR="006965CB">
        <w:rPr>
          <w:sz w:val="22"/>
          <w:szCs w:val="22"/>
          <w:lang w:val="en-GB"/>
        </w:rPr>
        <w:t>4</w:t>
      </w:r>
      <w:r w:rsidRPr="0069021C">
        <w:rPr>
          <w:sz w:val="22"/>
          <w:szCs w:val="22"/>
          <w:lang w:val="en-GB"/>
        </w:rPr>
        <w:t>.</w:t>
      </w:r>
      <w:r w:rsidR="003330E7">
        <w:rPr>
          <w:sz w:val="22"/>
          <w:szCs w:val="22"/>
          <w:lang w:val="en-GB"/>
        </w:rPr>
        <w:t>07</w:t>
      </w:r>
      <w:r w:rsidRPr="0069021C">
        <w:rPr>
          <w:sz w:val="22"/>
          <w:szCs w:val="22"/>
          <w:lang w:val="en-GB"/>
        </w:rPr>
        <w:t>.202</w:t>
      </w:r>
      <w:r w:rsidR="003330E7">
        <w:rPr>
          <w:sz w:val="22"/>
          <w:szCs w:val="22"/>
          <w:lang w:val="en-GB"/>
        </w:rPr>
        <w:t>3</w:t>
      </w:r>
      <w:r w:rsidRPr="0069021C">
        <w:rPr>
          <w:sz w:val="22"/>
          <w:szCs w:val="22"/>
          <w:lang w:val="en-GB"/>
        </w:rPr>
        <w:t xml:space="preserve">, 10:00; address: </w:t>
      </w:r>
      <w:r w:rsidR="0069021C" w:rsidRPr="0069021C">
        <w:rPr>
          <w:sz w:val="22"/>
          <w:szCs w:val="22"/>
        </w:rPr>
        <w:t xml:space="preserve">Trakya </w:t>
      </w:r>
      <w:proofErr w:type="spellStart"/>
      <w:r w:rsidR="0069021C" w:rsidRPr="0069021C">
        <w:rPr>
          <w:sz w:val="22"/>
          <w:szCs w:val="22"/>
        </w:rPr>
        <w:t>Üniversitesi</w:t>
      </w:r>
      <w:proofErr w:type="spellEnd"/>
      <w:r w:rsidR="0069021C" w:rsidRPr="0069021C">
        <w:rPr>
          <w:sz w:val="22"/>
          <w:szCs w:val="22"/>
        </w:rPr>
        <w:t xml:space="preserve"> </w:t>
      </w:r>
      <w:proofErr w:type="spellStart"/>
      <w:r w:rsidR="0069021C" w:rsidRPr="0069021C">
        <w:rPr>
          <w:sz w:val="22"/>
          <w:szCs w:val="22"/>
        </w:rPr>
        <w:t>Rektörlüğü</w:t>
      </w:r>
      <w:proofErr w:type="spellEnd"/>
      <w:r w:rsidR="0069021C" w:rsidRPr="0069021C">
        <w:rPr>
          <w:sz w:val="22"/>
          <w:szCs w:val="22"/>
        </w:rPr>
        <w:t xml:space="preserve">, Balkan </w:t>
      </w:r>
      <w:proofErr w:type="spellStart"/>
      <w:r w:rsidR="0069021C" w:rsidRPr="0069021C">
        <w:rPr>
          <w:sz w:val="22"/>
          <w:szCs w:val="22"/>
        </w:rPr>
        <w:t>Yerleşkesi</w:t>
      </w:r>
      <w:proofErr w:type="spellEnd"/>
      <w:r w:rsidRPr="0069021C">
        <w:rPr>
          <w:sz w:val="22"/>
          <w:szCs w:val="22"/>
          <w:lang w:val="en-GB"/>
        </w:rPr>
        <w:t>,</w:t>
      </w:r>
      <w:r w:rsidR="0069021C" w:rsidRPr="0069021C">
        <w:rPr>
          <w:sz w:val="22"/>
          <w:szCs w:val="22"/>
          <w:lang w:val="en-GB"/>
        </w:rPr>
        <w:t xml:space="preserve"> Edirne, </w:t>
      </w:r>
      <w:proofErr w:type="gramStart"/>
      <w:r w:rsidR="0069021C" w:rsidRPr="0069021C">
        <w:rPr>
          <w:sz w:val="22"/>
          <w:szCs w:val="22"/>
          <w:lang w:val="en-GB"/>
        </w:rPr>
        <w:t xml:space="preserve">Turkey </w:t>
      </w:r>
      <w:r w:rsidRPr="0069021C">
        <w:rPr>
          <w:sz w:val="22"/>
          <w:szCs w:val="22"/>
          <w:lang w:val="en-GB"/>
        </w:rPr>
        <w:t xml:space="preserve"> Bulgaria</w:t>
      </w:r>
      <w:proofErr w:type="gramEnd"/>
      <w:r w:rsidRPr="0069021C">
        <w:rPr>
          <w:sz w:val="22"/>
          <w:szCs w:val="22"/>
          <w:lang w:val="en-GB"/>
        </w:rPr>
        <w:t>,</w:t>
      </w:r>
      <w:r>
        <w:rPr>
          <w:sz w:val="22"/>
          <w:szCs w:val="22"/>
          <w:lang w:val="en-GB"/>
        </w:rPr>
        <w:t xml:space="preserve"> </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3"/>
      <w:headerReference w:type="default" r:id="rId14"/>
      <w:footerReference w:type="even" r:id="rId15"/>
      <w:footerReference w:type="default" r:id="rId16"/>
      <w:headerReference w:type="first" r:id="rId17"/>
      <w:footerReference w:type="first" r:id="rId18"/>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4EC70" w14:textId="77777777" w:rsidR="008F4853" w:rsidRDefault="008F4853">
      <w:r>
        <w:separator/>
      </w:r>
    </w:p>
  </w:endnote>
  <w:endnote w:type="continuationSeparator" w:id="0">
    <w:p w14:paraId="67F3F698" w14:textId="77777777" w:rsidR="008F4853" w:rsidRDefault="008F4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F06A9" w14:textId="77777777" w:rsidR="00711A01" w:rsidRDefault="00711A0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06F328B4" w:rsidR="00EF0A8C" w:rsidRPr="00B33EE6" w:rsidRDefault="003670BA" w:rsidP="00F9055E">
    <w:pPr>
      <w:pStyle w:val="AltBilgi"/>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2E25ED">
      <w:rPr>
        <w:rStyle w:val="SayfaNumaras"/>
        <w:noProof/>
        <w:sz w:val="18"/>
        <w:szCs w:val="18"/>
        <w:lang w:val="en-GB"/>
      </w:rPr>
      <w:t>1</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2E25ED">
      <w:rPr>
        <w:rStyle w:val="SayfaNumaras"/>
        <w:noProof/>
        <w:sz w:val="18"/>
        <w:szCs w:val="18"/>
        <w:lang w:val="en-GB"/>
      </w:rPr>
      <w:t>8</w:t>
    </w:r>
    <w:r w:rsidR="00B33EE6" w:rsidRPr="00B33EE6">
      <w:rPr>
        <w:rStyle w:val="SayfaNumaras"/>
        <w:sz w:val="18"/>
        <w:szCs w:val="18"/>
        <w:lang w:val="en-GB"/>
      </w:rPr>
      <w:fldChar w:fldCharType="end"/>
    </w:r>
  </w:p>
  <w:p w14:paraId="77551F46" w14:textId="1F27A587" w:rsidR="00EF0A8C" w:rsidRPr="00B33EE6" w:rsidRDefault="00EF0A8C" w:rsidP="007727F3">
    <w:pPr>
      <w:pStyle w:val="AltBilgi"/>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481F" w14:textId="77777777" w:rsidR="00711A01" w:rsidRDefault="00711A0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C7F41" w14:textId="77777777" w:rsidR="008F4853" w:rsidRDefault="008F4853">
      <w:r>
        <w:separator/>
      </w:r>
    </w:p>
  </w:footnote>
  <w:footnote w:type="continuationSeparator" w:id="0">
    <w:p w14:paraId="4571FDCB" w14:textId="77777777" w:rsidR="008F4853" w:rsidRDefault="008F4853">
      <w:r>
        <w:continuationSeparator/>
      </w:r>
    </w:p>
  </w:footnote>
  <w:footnote w:id="1">
    <w:p w14:paraId="341A3447" w14:textId="77777777" w:rsidR="008E7619" w:rsidRPr="001109B5" w:rsidRDefault="008E7619" w:rsidP="008E7619">
      <w:pPr>
        <w:pStyle w:val="DipnotMetni"/>
        <w:spacing w:before="0" w:after="0"/>
      </w:pPr>
      <w:r>
        <w:rPr>
          <w:rStyle w:val="DipnotBavurusu"/>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6C545557" w14:textId="77777777" w:rsidR="008E7619" w:rsidRPr="001109B5" w:rsidRDefault="008E7619" w:rsidP="008E7619">
      <w:pPr>
        <w:pStyle w:val="DipnotMetni"/>
        <w:spacing w:before="0" w:after="0"/>
      </w:pPr>
      <w:r w:rsidRPr="00CC0B7A">
        <w:rPr>
          <w:rStyle w:val="DipnotBavurusu"/>
        </w:rPr>
        <w:footnoteRef/>
      </w:r>
      <w:r w:rsidRPr="006C1625">
        <w:rPr>
          <w:rStyle w:val="DipnotBavurusu"/>
          <w:lang w:val="en-GB"/>
        </w:rPr>
        <w:t xml:space="preserve"> </w:t>
      </w:r>
      <w:r w:rsidRPr="006C1625">
        <w:rPr>
          <w:rStyle w:val="DipnotMetniChar"/>
          <w:lang w:val="en-GB"/>
        </w:rPr>
        <w:t>Article 11 CIR.</w:t>
      </w:r>
      <w:r w:rsidRPr="006C162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CD13E" w14:textId="77777777" w:rsidR="00711A01" w:rsidRDefault="00711A01">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3BDD5" w14:textId="77777777" w:rsidR="00711A01" w:rsidRDefault="00711A01">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898ED" w14:textId="77777777" w:rsidR="00711A01" w:rsidRDefault="00711A0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2CEB7E54"/>
    <w:multiLevelType w:val="hybridMultilevel"/>
    <w:tmpl w:val="6BF657FA"/>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abstractNum w:abstractNumId="47" w15:restartNumberingAfterBreak="0">
    <w:nsid w:val="761D10B1"/>
    <w:multiLevelType w:val="multilevel"/>
    <w:tmpl w:val="1EF4CDA0"/>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num w:numId="1" w16cid:durableId="1393894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5215808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54541062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5902366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220558550">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910893490">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564410239">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92934837">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15869197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179276633">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66860193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997269325">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675381874">
    <w:abstractNumId w:val="17"/>
  </w:num>
  <w:num w:numId="14" w16cid:durableId="792988097">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475605195">
    <w:abstractNumId w:val="13"/>
  </w:num>
  <w:num w:numId="16" w16cid:durableId="844200406">
    <w:abstractNumId w:val="15"/>
  </w:num>
  <w:num w:numId="17" w16cid:durableId="660088846">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431313591">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88631067">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20744905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74444783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62407674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79483385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64253800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58064948">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00262862">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853104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764039990">
    <w:abstractNumId w:val="27"/>
  </w:num>
  <w:num w:numId="29" w16cid:durableId="1574505476">
    <w:abstractNumId w:val="27"/>
  </w:num>
  <w:num w:numId="30" w16cid:durableId="391195126">
    <w:abstractNumId w:val="27"/>
  </w:num>
  <w:num w:numId="31" w16cid:durableId="1889217771">
    <w:abstractNumId w:val="27"/>
  </w:num>
  <w:num w:numId="32" w16cid:durableId="1848053681">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132091576">
    <w:abstractNumId w:val="36"/>
  </w:num>
  <w:num w:numId="34" w16cid:durableId="817188499">
    <w:abstractNumId w:val="42"/>
  </w:num>
  <w:num w:numId="35" w16cid:durableId="1079131900">
    <w:abstractNumId w:val="35"/>
  </w:num>
  <w:num w:numId="36" w16cid:durableId="2064332134">
    <w:abstractNumId w:val="33"/>
  </w:num>
  <w:num w:numId="37" w16cid:durableId="342325970">
    <w:abstractNumId w:val="37"/>
  </w:num>
  <w:num w:numId="38" w16cid:durableId="373114328">
    <w:abstractNumId w:val="40"/>
  </w:num>
  <w:num w:numId="39" w16cid:durableId="1831946791">
    <w:abstractNumId w:val="44"/>
  </w:num>
  <w:num w:numId="40" w16cid:durableId="36855005">
    <w:abstractNumId w:val="45"/>
  </w:num>
  <w:num w:numId="41" w16cid:durableId="577790022">
    <w:abstractNumId w:val="41"/>
  </w:num>
  <w:num w:numId="42" w16cid:durableId="1499156460">
    <w:abstractNumId w:val="43"/>
  </w:num>
  <w:num w:numId="43" w16cid:durableId="1845632659">
    <w:abstractNumId w:val="38"/>
  </w:num>
  <w:num w:numId="44" w16cid:durableId="272250756">
    <w:abstractNumId w:val="34"/>
  </w:num>
  <w:num w:numId="45" w16cid:durableId="217589163">
    <w:abstractNumId w:val="46"/>
  </w:num>
  <w:num w:numId="46" w16cid:durableId="1460420160">
    <w:abstractNumId w:val="47"/>
  </w:num>
  <w:num w:numId="47" w16cid:durableId="6187996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5ED"/>
    <w:rsid w:val="002E2635"/>
    <w:rsid w:val="002E7D33"/>
    <w:rsid w:val="002F4E69"/>
    <w:rsid w:val="003045C3"/>
    <w:rsid w:val="00313F6B"/>
    <w:rsid w:val="00322D52"/>
    <w:rsid w:val="003232ED"/>
    <w:rsid w:val="00323BDD"/>
    <w:rsid w:val="003262FC"/>
    <w:rsid w:val="00326B16"/>
    <w:rsid w:val="00330261"/>
    <w:rsid w:val="003330E7"/>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97EC4"/>
    <w:rsid w:val="003A4357"/>
    <w:rsid w:val="003B1B35"/>
    <w:rsid w:val="003C1515"/>
    <w:rsid w:val="003C3300"/>
    <w:rsid w:val="003D16FB"/>
    <w:rsid w:val="003D6CAD"/>
    <w:rsid w:val="003E782D"/>
    <w:rsid w:val="0040360C"/>
    <w:rsid w:val="004108A4"/>
    <w:rsid w:val="00414526"/>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21541"/>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1D7C"/>
    <w:rsid w:val="005B35A2"/>
    <w:rsid w:val="005B4F80"/>
    <w:rsid w:val="005B5E3C"/>
    <w:rsid w:val="005C71EF"/>
    <w:rsid w:val="005D41DD"/>
    <w:rsid w:val="005F776D"/>
    <w:rsid w:val="0060359F"/>
    <w:rsid w:val="0061336A"/>
    <w:rsid w:val="006309DE"/>
    <w:rsid w:val="00632BDC"/>
    <w:rsid w:val="0064390B"/>
    <w:rsid w:val="0065706E"/>
    <w:rsid w:val="00663C6D"/>
    <w:rsid w:val="0067008E"/>
    <w:rsid w:val="006714ED"/>
    <w:rsid w:val="006738B9"/>
    <w:rsid w:val="00674F9C"/>
    <w:rsid w:val="006751D2"/>
    <w:rsid w:val="006770CA"/>
    <w:rsid w:val="00686C3A"/>
    <w:rsid w:val="0069021C"/>
    <w:rsid w:val="006965CB"/>
    <w:rsid w:val="00697F82"/>
    <w:rsid w:val="006A0598"/>
    <w:rsid w:val="006A66DA"/>
    <w:rsid w:val="006A7394"/>
    <w:rsid w:val="006B2EDA"/>
    <w:rsid w:val="006B59B9"/>
    <w:rsid w:val="006B6076"/>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86ED7"/>
    <w:rsid w:val="00894E29"/>
    <w:rsid w:val="0089693D"/>
    <w:rsid w:val="008A1184"/>
    <w:rsid w:val="008A1514"/>
    <w:rsid w:val="008B0830"/>
    <w:rsid w:val="008B77CD"/>
    <w:rsid w:val="008C3178"/>
    <w:rsid w:val="008C68A0"/>
    <w:rsid w:val="008D1243"/>
    <w:rsid w:val="008D3E45"/>
    <w:rsid w:val="008E2D12"/>
    <w:rsid w:val="008E7619"/>
    <w:rsid w:val="008F294D"/>
    <w:rsid w:val="008F4853"/>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3445"/>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053C8"/>
    <w:rsid w:val="00A11931"/>
    <w:rsid w:val="00A164DF"/>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0293"/>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50E"/>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3CFF"/>
    <w:rsid w:val="00BE595A"/>
    <w:rsid w:val="00BE5F29"/>
    <w:rsid w:val="00BE783C"/>
    <w:rsid w:val="00C00D44"/>
    <w:rsid w:val="00C03AF5"/>
    <w:rsid w:val="00C04FCE"/>
    <w:rsid w:val="00C067C5"/>
    <w:rsid w:val="00C0772E"/>
    <w:rsid w:val="00C10BE8"/>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43AC"/>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3367"/>
    <w:rsid w:val="00D240C3"/>
    <w:rsid w:val="00D2786B"/>
    <w:rsid w:val="00D32849"/>
    <w:rsid w:val="00D33DD9"/>
    <w:rsid w:val="00D434A7"/>
    <w:rsid w:val="00D46724"/>
    <w:rsid w:val="00D50B87"/>
    <w:rsid w:val="00D517A4"/>
    <w:rsid w:val="00D51C7E"/>
    <w:rsid w:val="00D549F4"/>
    <w:rsid w:val="00D64101"/>
    <w:rsid w:val="00D842B1"/>
    <w:rsid w:val="00D8773C"/>
    <w:rsid w:val="00D87D0A"/>
    <w:rsid w:val="00D93082"/>
    <w:rsid w:val="00D97139"/>
    <w:rsid w:val="00DA0ABA"/>
    <w:rsid w:val="00DB7945"/>
    <w:rsid w:val="00DC0253"/>
    <w:rsid w:val="00DC4F70"/>
    <w:rsid w:val="00DC753D"/>
    <w:rsid w:val="00DD0CD4"/>
    <w:rsid w:val="00DE3C11"/>
    <w:rsid w:val="00DF04F0"/>
    <w:rsid w:val="00E147D3"/>
    <w:rsid w:val="00E14F50"/>
    <w:rsid w:val="00E1782A"/>
    <w:rsid w:val="00E21BC3"/>
    <w:rsid w:val="00E23A94"/>
    <w:rsid w:val="00E30BB5"/>
    <w:rsid w:val="00E31447"/>
    <w:rsid w:val="00E422A2"/>
    <w:rsid w:val="00E5220B"/>
    <w:rsid w:val="00E53FB0"/>
    <w:rsid w:val="00E55CCF"/>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0B66"/>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447F"/>
    <w:rsid w:val="00FD7C42"/>
    <w:rsid w:val="00FE4D9A"/>
    <w:rsid w:val="00FE4E4B"/>
    <w:rsid w:val="00FE62A5"/>
    <w:rsid w:val="00FE6A9C"/>
    <w:rsid w:val="00FE6CB8"/>
    <w:rsid w:val="00FE74BA"/>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paragraph" w:styleId="Balk4">
    <w:name w:val="heading 4"/>
    <w:basedOn w:val="Normal"/>
    <w:next w:val="Normal"/>
    <w:link w:val="Balk4Char"/>
    <w:semiHidden/>
    <w:unhideWhenUsed/>
    <w:qFormat/>
    <w:rsid w:val="009B5369"/>
    <w:pPr>
      <w:keepNext/>
      <w:spacing w:before="240" w:after="60"/>
      <w:outlineLvl w:val="3"/>
    </w:pPr>
    <w:rPr>
      <w:rFonts w:ascii="Calibri" w:hAnsi="Calibr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uiPriority w:val="20"/>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link w:val="DipnotMetniChar"/>
    <w:uiPriority w:val="99"/>
    <w:rsid w:val="001951FE"/>
    <w:rPr>
      <w:sz w:val="20"/>
    </w:rPr>
  </w:style>
  <w:style w:type="character" w:styleId="DipnotBavurusu">
    <w:name w:val="footnote reference"/>
    <w:uiPriority w:val="99"/>
    <w:qFormat/>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DipnotMetniChar">
    <w:name w:val="Dipnot Metni Char"/>
    <w:link w:val="DipnotMetni"/>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eParagraf">
    <w:name w:val="List Paragraph"/>
    <w:basedOn w:val="Normal"/>
    <w:uiPriority w:val="34"/>
    <w:qFormat/>
    <w:rsid w:val="00B9793F"/>
    <w:pPr>
      <w:ind w:left="720"/>
    </w:pPr>
  </w:style>
  <w:style w:type="paragraph" w:styleId="Dzeltme">
    <w:name w:val="Revision"/>
    <w:hidden/>
    <w:uiPriority w:val="99"/>
    <w:semiHidden/>
    <w:rsid w:val="00D97139"/>
    <w:rPr>
      <w:snapToGrid w:val="0"/>
      <w:sz w:val="24"/>
      <w:lang w:val="en-US" w:eastAsia="en-US"/>
    </w:rPr>
  </w:style>
  <w:style w:type="character" w:customStyle="1" w:styleId="Balk4Char">
    <w:name w:val="Başlık 4 Char"/>
    <w:link w:val="Balk4"/>
    <w:semiHidden/>
    <w:rsid w:val="009B5369"/>
    <w:rPr>
      <w:rFonts w:ascii="Calibri" w:eastAsia="Times New Roman" w:hAnsi="Calibri" w:cs="Times New Roman"/>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Annex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A94BEF-1B98-4D51-8888-0CCC70EA25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CE9EBA-E46E-4F8B-A861-9EDF008D9940}">
  <ds:schemaRefs>
    <ds:schemaRef ds:uri="http://schemas.microsoft.com/sharepoint/v3/contenttype/forms"/>
  </ds:schemaRefs>
</ds:datastoreItem>
</file>

<file path=customXml/itemProps3.xml><?xml version="1.0" encoding="utf-8"?>
<ds:datastoreItem xmlns:ds="http://schemas.openxmlformats.org/officeDocument/2006/customXml" ds:itemID="{7FB5D33F-2919-4270-84A5-2127D23D6396}">
  <ds:schemaRefs>
    <ds:schemaRef ds:uri="http://schemas.openxmlformats.org/officeDocument/2006/bibliography"/>
  </ds:schemaRefs>
</ds:datastoreItem>
</file>

<file path=customXml/itemProps4.xml><?xml version="1.0" encoding="utf-8"?>
<ds:datastoreItem xmlns:ds="http://schemas.openxmlformats.org/officeDocument/2006/customXml" ds:itemID="{F548550E-EEBB-446F-9E2B-3B1BA56091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6</Pages>
  <Words>1873</Words>
  <Characters>10681</Characters>
  <Application>Microsoft Office Word</Application>
  <DocSecurity>0</DocSecurity>
  <Lines>89</Lines>
  <Paragraphs>25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12529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Burcu Ozer</cp:lastModifiedBy>
  <cp:revision>58</cp:revision>
  <cp:lastPrinted>2016-05-31T08:36:00Z</cp:lastPrinted>
  <dcterms:created xsi:type="dcterms:W3CDTF">2021-06-23T07:58:00Z</dcterms:created>
  <dcterms:modified xsi:type="dcterms:W3CDTF">2023-06-05T12:03:00Z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0x010100263B1F5D7841074CBE2E963D24797DAD</vt:lpwstr>
  </property>
</Properties>
</file>