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A7B" w:rsidRDefault="00A34A7B">
      <w:pPr>
        <w:pBdr>
          <w:top w:val="nil"/>
          <w:left w:val="nil"/>
          <w:bottom w:val="nil"/>
          <w:right w:val="nil"/>
          <w:between w:val="nil"/>
        </w:pBdr>
        <w:spacing w:before="0" w:after="0" w:line="276" w:lineRule="auto"/>
      </w:pPr>
    </w:p>
    <w:p w:rsidR="00A34A7B" w:rsidRDefault="00925543">
      <w:pPr>
        <w:jc w:val="center"/>
        <w:rPr>
          <w:b/>
          <w:sz w:val="28"/>
          <w:szCs w:val="28"/>
        </w:rPr>
      </w:pPr>
      <w:r>
        <w:rPr>
          <w:b/>
          <w:sz w:val="28"/>
          <w:szCs w:val="28"/>
        </w:rPr>
        <w:t>WORKS CONTRACT NOTICE</w:t>
      </w:r>
      <w:r>
        <w:rPr>
          <w:noProof/>
          <w:lang w:val="tr-TR" w:eastAsia="tr-TR"/>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22225" cy="22225"/>
                <wp:effectExtent l="0" t="0" r="0" b="0"/>
                <wp:wrapNone/>
                <wp:docPr id="1" name="Düz Ok Bağlayıcısı 1"/>
                <wp:cNvGraphicFramePr/>
                <a:graphic xmlns:a="http://schemas.openxmlformats.org/drawingml/2006/main">
                  <a:graphicData uri="http://schemas.microsoft.com/office/word/2010/wordprocessingShape">
                    <wps:wsp>
                      <wps:cNvCnPr/>
                      <wps:spPr>
                        <a:xfrm>
                          <a:off x="5288850" y="3807940"/>
                          <a:ext cx="5943600" cy="635"/>
                        </a:xfrm>
                        <a:prstGeom prst="straightConnector1">
                          <a:avLst/>
                        </a:prstGeom>
                        <a:solidFill>
                          <a:srgbClr val="FFFFFF"/>
                        </a:solidFill>
                        <a:ln w="22225" cap="flat" cmpd="sng">
                          <a:solidFill>
                            <a:srgbClr val="D4D4D4"/>
                          </a:solidFill>
                          <a:prstDash val="solid"/>
                          <a:round/>
                          <a:headEnd type="none" w="sm" len="sm"/>
                          <a:tailEnd type="none" w="sm" len="sm"/>
                        </a:ln>
                      </wps:spPr>
                      <wps:bodyPr/>
                    </wps:wsp>
                  </a:graphicData>
                </a:graphic>
              </wp:anchor>
            </w:drawing>
          </mc:Choice>
          <mc:Fallback>
            <w:pict>
              <v:shapetype w14:anchorId="032275DC" id="_x0000_t32" coordsize="21600,21600" o:spt="32" o:oned="t" path="m,l21600,21600e" filled="f">
                <v:path arrowok="t" fillok="f" o:connecttype="none"/>
                <o:lock v:ext="edit" shapetype="t"/>
              </v:shapetype>
              <v:shape id="Düz Ok Bağlayıcısı 1" o:spid="_x0000_s1026" type="#_x0000_t32" style="position:absolute;margin-left:9pt;margin-top:0;width:1.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" filled="t" strokecolor="#d4d4d4" strokeweight="1.75pt">
                <v:stroke startarrowwidth="narrow" startarrowlength="short" endarrowwidth="narrow" endarrowlength="short"/>
              </v:shape>
            </w:pict>
          </mc:Fallback>
        </mc:AlternateContent>
      </w:r>
    </w:p>
    <w:p w:rsidR="00A34A7B" w:rsidRDefault="00925543">
      <w:pPr>
        <w:widowControl/>
        <w:spacing w:before="0" w:after="0"/>
        <w:jc w:val="center"/>
        <w:rPr>
          <w:b/>
          <w:sz w:val="22"/>
          <w:szCs w:val="22"/>
        </w:rPr>
      </w:pPr>
      <w:r>
        <w:rPr>
          <w:b/>
          <w:sz w:val="22"/>
          <w:szCs w:val="22"/>
        </w:rPr>
        <w:t>Contract title: Small-scale construction: Rehabilitation and Construction Works in Hamdibey Village</w:t>
      </w:r>
    </w:p>
    <w:p w:rsidR="00A34A7B" w:rsidRDefault="00925543">
      <w:pPr>
        <w:jc w:val="center"/>
        <w:rPr>
          <w:sz w:val="22"/>
          <w:szCs w:val="22"/>
        </w:rPr>
      </w:pPr>
      <w:r>
        <w:rPr>
          <w:b/>
          <w:sz w:val="22"/>
          <w:szCs w:val="22"/>
        </w:rPr>
        <w:t>Location</w:t>
      </w:r>
      <w:r>
        <w:rPr>
          <w:sz w:val="22"/>
          <w:szCs w:val="22"/>
        </w:rPr>
        <w:t xml:space="preserve"> – Kirklareli, Turkey </w:t>
      </w:r>
    </w:p>
    <w:p w:rsidR="00A34A7B" w:rsidRDefault="00925543">
      <w:pPr>
        <w:numPr>
          <w:ilvl w:val="0"/>
          <w:numId w:val="1"/>
        </w:numPr>
        <w:pBdr>
          <w:top w:val="nil"/>
          <w:left w:val="nil"/>
          <w:bottom w:val="nil"/>
          <w:right w:val="nil"/>
          <w:between w:val="nil"/>
        </w:pBdr>
        <w:rPr>
          <w:b/>
          <w:color w:val="000000"/>
          <w:sz w:val="22"/>
          <w:szCs w:val="22"/>
        </w:rPr>
      </w:pPr>
      <w:bookmarkStart w:id="0" w:name="_heading=h.gjdgxs" w:colFirst="0" w:colLast="0"/>
      <w:bookmarkEnd w:id="0"/>
      <w:r>
        <w:rPr>
          <w:b/>
          <w:color w:val="000000"/>
          <w:sz w:val="22"/>
          <w:szCs w:val="22"/>
        </w:rPr>
        <w:t>Reference</w:t>
      </w:r>
    </w:p>
    <w:p w:rsidR="00A34A7B" w:rsidRDefault="00925543">
      <w:pPr>
        <w:tabs>
          <w:tab w:val="left" w:pos="8135"/>
        </w:tabs>
        <w:ind w:left="709"/>
        <w:rPr>
          <w:sz w:val="22"/>
          <w:szCs w:val="22"/>
        </w:rPr>
      </w:pPr>
      <w:r>
        <w:t>CB005.2.21.006.PP2.WORKS.C2.01.01</w:t>
      </w:r>
      <w:r>
        <w:rPr>
          <w:sz w:val="22"/>
          <w:szCs w:val="22"/>
        </w:rPr>
        <w:tab/>
      </w:r>
    </w:p>
    <w:p w:rsidR="00A34A7B" w:rsidRDefault="00925543">
      <w:pPr>
        <w:numPr>
          <w:ilvl w:val="0"/>
          <w:numId w:val="1"/>
        </w:numPr>
        <w:pBdr>
          <w:top w:val="nil"/>
          <w:left w:val="nil"/>
          <w:bottom w:val="nil"/>
          <w:right w:val="nil"/>
          <w:between w:val="nil"/>
        </w:pBdr>
        <w:rPr>
          <w:b/>
          <w:color w:val="000000"/>
          <w:sz w:val="22"/>
          <w:szCs w:val="22"/>
        </w:rPr>
      </w:pPr>
      <w:r>
        <w:rPr>
          <w:b/>
          <w:color w:val="000000"/>
          <w:sz w:val="22"/>
          <w:szCs w:val="22"/>
        </w:rPr>
        <w:t>Procedure</w:t>
      </w:r>
    </w:p>
    <w:p w:rsidR="00A34A7B" w:rsidRDefault="00925543">
      <w:pPr>
        <w:pBdr>
          <w:top w:val="nil"/>
          <w:left w:val="nil"/>
          <w:bottom w:val="nil"/>
          <w:right w:val="nil"/>
          <w:between w:val="nil"/>
        </w:pBdr>
        <w:ind w:left="709"/>
        <w:rPr>
          <w:color w:val="000000"/>
          <w:sz w:val="22"/>
          <w:szCs w:val="22"/>
        </w:rPr>
      </w:pPr>
      <w:r>
        <w:rPr>
          <w:color w:val="000000"/>
          <w:sz w:val="22"/>
          <w:szCs w:val="22"/>
        </w:rPr>
        <w:t xml:space="preserve"> Simplified</w:t>
      </w:r>
    </w:p>
    <w:p w:rsidR="00A34A7B" w:rsidRDefault="00925543">
      <w:pPr>
        <w:numPr>
          <w:ilvl w:val="0"/>
          <w:numId w:val="1"/>
        </w:numPr>
        <w:pBdr>
          <w:top w:val="nil"/>
          <w:left w:val="nil"/>
          <w:bottom w:val="nil"/>
          <w:right w:val="nil"/>
          <w:between w:val="nil"/>
        </w:pBdr>
        <w:rPr>
          <w:b/>
          <w:color w:val="000000"/>
          <w:sz w:val="22"/>
          <w:szCs w:val="22"/>
        </w:rPr>
      </w:pPr>
      <w:r>
        <w:rPr>
          <w:b/>
          <w:color w:val="000000"/>
          <w:sz w:val="22"/>
          <w:szCs w:val="22"/>
        </w:rPr>
        <w:t>Programme title</w:t>
      </w:r>
    </w:p>
    <w:p w:rsidR="00A34A7B" w:rsidRDefault="00925543">
      <w:pPr>
        <w:pBdr>
          <w:top w:val="nil"/>
          <w:left w:val="nil"/>
          <w:bottom w:val="nil"/>
          <w:right w:val="nil"/>
          <w:between w:val="nil"/>
        </w:pBdr>
        <w:ind w:left="720"/>
        <w:jc w:val="both"/>
        <w:rPr>
          <w:color w:val="000000"/>
        </w:rPr>
      </w:pPr>
      <w:r>
        <w:rPr>
          <w:color w:val="000000"/>
        </w:rPr>
        <w:t xml:space="preserve">Interreg-IPA CBC Bulgaria-Turkey Programme approved by European Commission on 22.07.2015 by Decision C(2015) 5280, amended with Decision C(2016) 2852 from 4.5.2016 and Decision C(2016) 8642 from 13.12.2016, with programme reference number CCI 2014TC16I5CB005; Second Call 2014TC16I5CB005 – 2018 – 2. </w:t>
      </w: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t>Financing</w:t>
      </w:r>
    </w:p>
    <w:p w:rsidR="00A34A7B" w:rsidRDefault="00925543">
      <w:pPr>
        <w:spacing w:before="240"/>
        <w:ind w:left="720"/>
        <w:jc w:val="both"/>
        <w:rPr>
          <w:sz w:val="22"/>
          <w:szCs w:val="22"/>
        </w:rPr>
      </w:pPr>
      <w:r>
        <w:rPr>
          <w:sz w:val="22"/>
          <w:szCs w:val="22"/>
        </w:rPr>
        <w:t xml:space="preserve">The project is co-financed by the European Union, in accordance with the rules of </w:t>
      </w:r>
      <w:r>
        <w:t xml:space="preserve">Interreg-IPA CBC Bulgaria-Turkey </w:t>
      </w:r>
      <w:r>
        <w:rPr>
          <w:sz w:val="22"/>
          <w:szCs w:val="22"/>
        </w:rPr>
        <w:t xml:space="preserve">programme. </w:t>
      </w:r>
    </w:p>
    <w:p w:rsidR="00A34A7B" w:rsidRDefault="00925543">
      <w:pPr>
        <w:spacing w:before="240"/>
        <w:ind w:left="720"/>
        <w:jc w:val="both"/>
        <w:rPr>
          <w:sz w:val="22"/>
          <w:szCs w:val="22"/>
        </w:rPr>
      </w:pPr>
      <w:r>
        <w:rPr>
          <w:sz w:val="22"/>
          <w:szCs w:val="22"/>
        </w:rPr>
        <w:t xml:space="preserve">The project is co-financed by the general budgets of Turkey and Bulgaria countries. </w:t>
      </w: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t>Contracting authority</w:t>
      </w:r>
    </w:p>
    <w:p w:rsidR="00A34A7B" w:rsidRDefault="00925543">
      <w:pPr>
        <w:spacing w:after="0"/>
        <w:ind w:left="360"/>
        <w:jc w:val="both"/>
        <w:rPr>
          <w:b/>
        </w:rPr>
      </w:pPr>
      <w:r>
        <w:rPr>
          <w:sz w:val="22"/>
          <w:szCs w:val="22"/>
        </w:rPr>
        <w:tab/>
      </w:r>
      <w:r>
        <w:rPr>
          <w:b/>
        </w:rPr>
        <w:t>Kirklareli Provincial Special Administration</w:t>
      </w:r>
    </w:p>
    <w:p w:rsidR="00A34A7B" w:rsidRDefault="00A34A7B">
      <w:pPr>
        <w:spacing w:after="0"/>
        <w:ind w:left="360"/>
        <w:jc w:val="both"/>
        <w:rPr>
          <w:b/>
          <w:sz w:val="6"/>
          <w:szCs w:val="6"/>
        </w:rPr>
      </w:pPr>
    </w:p>
    <w:p w:rsidR="00A34A7B" w:rsidRDefault="00925543">
      <w:pPr>
        <w:pBdr>
          <w:top w:val="nil"/>
          <w:left w:val="nil"/>
          <w:bottom w:val="nil"/>
          <w:right w:val="nil"/>
          <w:between w:val="nil"/>
        </w:pBdr>
        <w:spacing w:before="0" w:after="0" w:line="360" w:lineRule="auto"/>
        <w:ind w:left="720"/>
        <w:rPr>
          <w:color w:val="000000"/>
        </w:rPr>
      </w:pPr>
      <w:r>
        <w:rPr>
          <w:color w:val="000000"/>
        </w:rPr>
        <w:t xml:space="preserve">Karakaş Mahallesi 100.Yıl Caddesi, </w:t>
      </w:r>
    </w:p>
    <w:p w:rsidR="00A34A7B" w:rsidRDefault="00925543">
      <w:pPr>
        <w:pBdr>
          <w:top w:val="nil"/>
          <w:left w:val="nil"/>
          <w:bottom w:val="nil"/>
          <w:right w:val="nil"/>
          <w:between w:val="nil"/>
        </w:pBdr>
        <w:spacing w:before="0" w:after="0" w:line="360" w:lineRule="auto"/>
        <w:ind w:left="720"/>
        <w:rPr>
          <w:color w:val="000000"/>
        </w:rPr>
      </w:pPr>
      <w:r>
        <w:rPr>
          <w:color w:val="000000"/>
        </w:rPr>
        <w:t xml:space="preserve">Kırklareli İl Özel İdaresi Binası Proje Ofisi Kat:2 </w:t>
      </w:r>
    </w:p>
    <w:p w:rsidR="00A34A7B" w:rsidRDefault="00925543">
      <w:pPr>
        <w:pBdr>
          <w:top w:val="nil"/>
          <w:left w:val="nil"/>
          <w:bottom w:val="nil"/>
          <w:right w:val="nil"/>
          <w:between w:val="nil"/>
        </w:pBdr>
        <w:spacing w:before="0" w:after="0" w:line="360" w:lineRule="auto"/>
        <w:ind w:left="720"/>
        <w:rPr>
          <w:color w:val="000000"/>
        </w:rPr>
      </w:pPr>
      <w:r>
        <w:rPr>
          <w:color w:val="000000"/>
        </w:rPr>
        <w:t>Merkez, Kirklareli/Turkey</w:t>
      </w:r>
    </w:p>
    <w:p w:rsidR="00A34A7B" w:rsidRDefault="00925543">
      <w:pPr>
        <w:pBdr>
          <w:top w:val="nil"/>
          <w:left w:val="nil"/>
          <w:bottom w:val="nil"/>
          <w:right w:val="nil"/>
          <w:between w:val="nil"/>
        </w:pBdr>
        <w:spacing w:before="0" w:after="0" w:line="360" w:lineRule="auto"/>
        <w:ind w:left="720"/>
        <w:rPr>
          <w:color w:val="000000"/>
          <w:sz w:val="22"/>
          <w:szCs w:val="22"/>
        </w:rPr>
      </w:pPr>
      <w:r>
        <w:rPr>
          <w:color w:val="000000"/>
          <w:sz w:val="22"/>
          <w:szCs w:val="22"/>
        </w:rPr>
        <w:t>Contact Person: Şeyda Savaşan,</w:t>
      </w:r>
    </w:p>
    <w:p w:rsidR="00A34A7B" w:rsidRDefault="00A34A7B">
      <w:pPr>
        <w:pBdr>
          <w:top w:val="nil"/>
          <w:left w:val="nil"/>
          <w:bottom w:val="nil"/>
          <w:right w:val="nil"/>
          <w:between w:val="nil"/>
        </w:pBdr>
        <w:spacing w:before="0" w:after="0" w:line="360" w:lineRule="auto"/>
        <w:ind w:left="720"/>
        <w:rPr>
          <w:color w:val="000000"/>
          <w:sz w:val="22"/>
          <w:szCs w:val="22"/>
        </w:rPr>
      </w:pPr>
    </w:p>
    <w:p w:rsidR="00A34A7B" w:rsidRDefault="00925543">
      <w:pPr>
        <w:ind w:left="360"/>
        <w:jc w:val="center"/>
        <w:rPr>
          <w:b/>
          <w:sz w:val="22"/>
          <w:szCs w:val="22"/>
        </w:rPr>
      </w:pPr>
      <w:r>
        <w:rPr>
          <w:b/>
          <w:sz w:val="22"/>
          <w:szCs w:val="22"/>
        </w:rPr>
        <w:t>CONTRACT SPECIFICATIONS</w:t>
      </w:r>
      <w:r>
        <w:rPr>
          <w:noProof/>
          <w:lang w:val="tr-TR" w:eastAsia="tr-TR"/>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22225" cy="22225"/>
                <wp:effectExtent l="0" t="0" r="0" b="0"/>
                <wp:wrapNone/>
                <wp:docPr id="4" name="Düz Ok Bağlayıcısı 4"/>
                <wp:cNvGraphicFramePr/>
                <a:graphic xmlns:a="http://schemas.openxmlformats.org/drawingml/2006/main">
                  <a:graphicData uri="http://schemas.microsoft.com/office/word/2010/wordprocessingShape">
                    <wps:wsp>
                      <wps:cNvCnPr/>
                      <wps:spPr>
                        <a:xfrm>
                          <a:off x="5374575" y="3774285"/>
                          <a:ext cx="5943600" cy="635"/>
                        </a:xfrm>
                        <a:prstGeom prst="straightConnector1">
                          <a:avLst/>
                        </a:prstGeom>
                        <a:solidFill>
                          <a:srgbClr val="FFFFFF"/>
                        </a:solidFill>
                        <a:ln w="22225" cap="flat" cmpd="sng">
                          <a:solidFill>
                            <a:srgbClr val="D4D4D4"/>
                          </a:solidFill>
                          <a:prstDash val="solid"/>
                          <a:round/>
                          <a:headEnd type="none" w="sm" len="sm"/>
                          <a:tailEnd type="none" w="sm" len="sm"/>
                        </a:ln>
                      </wps:spPr>
                      <wps:bodyPr/>
                    </wps:wsp>
                  </a:graphicData>
                </a:graphic>
              </wp:anchor>
            </w:drawing>
          </mc:Choice>
          <mc:Fallback>
            <w:pict>
              <v:shape w14:anchorId="37478BC0" id="Düz Ok Bağlayıcısı 4" o:spid="_x0000_s1026" type="#_x0000_t32" style="position:absolute;margin-left:9pt;margin-top:0;width:1.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" filled="t" strokecolor="#d4d4d4" strokeweight="1.75pt">
                <v:stroke startarrowwidth="narrow" startarrowlength="short" endarrowwidth="narrow" endarrowlength="short"/>
              </v:shape>
            </w:pict>
          </mc:Fallback>
        </mc:AlternateContent>
      </w:r>
    </w:p>
    <w:p w:rsidR="00A34A7B" w:rsidRDefault="00925543">
      <w:pPr>
        <w:numPr>
          <w:ilvl w:val="0"/>
          <w:numId w:val="1"/>
        </w:numPr>
        <w:pBdr>
          <w:top w:val="nil"/>
          <w:left w:val="nil"/>
          <w:bottom w:val="nil"/>
          <w:right w:val="nil"/>
          <w:between w:val="nil"/>
        </w:pBdr>
        <w:rPr>
          <w:b/>
          <w:color w:val="000000"/>
          <w:sz w:val="22"/>
          <w:szCs w:val="22"/>
        </w:rPr>
      </w:pPr>
      <w:r>
        <w:rPr>
          <w:b/>
          <w:color w:val="000000"/>
          <w:sz w:val="22"/>
          <w:szCs w:val="22"/>
        </w:rPr>
        <w:t>Nature of contract</w:t>
      </w:r>
    </w:p>
    <w:p w:rsidR="00A34A7B" w:rsidRDefault="00925543">
      <w:pPr>
        <w:pBdr>
          <w:top w:val="nil"/>
          <w:left w:val="nil"/>
          <w:bottom w:val="nil"/>
          <w:right w:val="nil"/>
          <w:between w:val="nil"/>
        </w:pBdr>
        <w:ind w:left="720"/>
        <w:rPr>
          <w:color w:val="000000"/>
          <w:sz w:val="22"/>
          <w:szCs w:val="22"/>
        </w:rPr>
      </w:pPr>
      <w:r>
        <w:rPr>
          <w:color w:val="000000"/>
          <w:sz w:val="22"/>
          <w:szCs w:val="22"/>
        </w:rPr>
        <w:t>Lump-sum</w:t>
      </w:r>
    </w:p>
    <w:p w:rsidR="00A34A7B" w:rsidRDefault="00925543">
      <w:pPr>
        <w:numPr>
          <w:ilvl w:val="0"/>
          <w:numId w:val="1"/>
        </w:numPr>
        <w:pBdr>
          <w:top w:val="nil"/>
          <w:left w:val="nil"/>
          <w:bottom w:val="nil"/>
          <w:right w:val="nil"/>
          <w:between w:val="nil"/>
        </w:pBdr>
        <w:rPr>
          <w:b/>
          <w:color w:val="000000"/>
          <w:sz w:val="22"/>
          <w:szCs w:val="22"/>
        </w:rPr>
      </w:pPr>
      <w:r>
        <w:rPr>
          <w:b/>
          <w:color w:val="000000"/>
          <w:sz w:val="22"/>
          <w:szCs w:val="22"/>
        </w:rPr>
        <w:t>Description of the contract</w:t>
      </w:r>
    </w:p>
    <w:p w:rsidR="00A34A7B" w:rsidRDefault="00925543">
      <w:pPr>
        <w:pBdr>
          <w:top w:val="nil"/>
          <w:left w:val="nil"/>
          <w:bottom w:val="nil"/>
          <w:right w:val="nil"/>
          <w:between w:val="nil"/>
        </w:pBdr>
        <w:tabs>
          <w:tab w:val="center" w:pos="4536"/>
          <w:tab w:val="right" w:pos="9072"/>
        </w:tabs>
        <w:rPr>
          <w:b/>
          <w:color w:val="002060"/>
        </w:rPr>
      </w:pPr>
      <w:r>
        <w:rPr>
          <w:color w:val="000000"/>
          <w:sz w:val="22"/>
          <w:szCs w:val="22"/>
        </w:rPr>
        <w:t xml:space="preserve">The contract covers mainly landscaping works in Hamdibey Village under the project titled </w:t>
      </w:r>
      <w:r>
        <w:rPr>
          <w:color w:val="002060"/>
        </w:rPr>
        <w:t>Promote and Affect Tourism through History (PATH)</w:t>
      </w:r>
    </w:p>
    <w:p w:rsidR="00A34A7B" w:rsidRDefault="00925543">
      <w:pPr>
        <w:spacing w:after="0"/>
        <w:ind w:left="360"/>
        <w:jc w:val="both"/>
        <w:rPr>
          <w:b/>
        </w:rPr>
      </w:pPr>
      <w:r>
        <w:rPr>
          <w:sz w:val="22"/>
          <w:szCs w:val="22"/>
        </w:rPr>
        <w:t xml:space="preserve">Under the project, the support, control and supervision will be provided by the experts assigned for the project by the </w:t>
      </w:r>
      <w:r>
        <w:t xml:space="preserve">Kirklareli Provincial Special Administration </w:t>
      </w:r>
      <w:r>
        <w:rPr>
          <w:sz w:val="22"/>
          <w:szCs w:val="22"/>
        </w:rPr>
        <w:t xml:space="preserve">with the control of the LP. As a </w:t>
      </w:r>
      <w:r>
        <w:rPr>
          <w:sz w:val="22"/>
          <w:szCs w:val="22"/>
        </w:rPr>
        <w:lastRenderedPageBreak/>
        <w:t xml:space="preserve">result, the following small-scale investments with aim of promoting tourism in the area:  </w:t>
      </w:r>
    </w:p>
    <w:p w:rsidR="00A34A7B" w:rsidRDefault="00925543">
      <w:pPr>
        <w:ind w:left="720"/>
        <w:rPr>
          <w:sz w:val="22"/>
          <w:szCs w:val="22"/>
        </w:rPr>
      </w:pPr>
      <w:r>
        <w:rPr>
          <w:sz w:val="22"/>
          <w:szCs w:val="22"/>
        </w:rPr>
        <w:t xml:space="preserve">* for the sake of ensuring local security, the construction area will be secured according to national occupational health and safety regulations. </w:t>
      </w:r>
    </w:p>
    <w:p w:rsidR="00A34A7B" w:rsidRDefault="00925543">
      <w:pPr>
        <w:ind w:left="720"/>
        <w:jc w:val="both"/>
        <w:rPr>
          <w:sz w:val="22"/>
          <w:szCs w:val="22"/>
        </w:rPr>
      </w:pPr>
      <w:r>
        <w:rPr>
          <w:sz w:val="22"/>
          <w:szCs w:val="22"/>
        </w:rPr>
        <w:t xml:space="preserve">* Stone-block pavement will be constructed to damaged roads of Hamdibey village. The infrastructure of the roads will be supported with steel web for heavy tonnage vehicles. </w:t>
      </w:r>
    </w:p>
    <w:p w:rsidR="00A34A7B" w:rsidRDefault="00925543">
      <w:pPr>
        <w:ind w:left="720"/>
        <w:jc w:val="both"/>
        <w:rPr>
          <w:sz w:val="22"/>
          <w:szCs w:val="22"/>
        </w:rPr>
      </w:pPr>
      <w:r>
        <w:rPr>
          <w:sz w:val="22"/>
          <w:szCs w:val="22"/>
        </w:rPr>
        <w:t>* Pedestrian routes will be determined within the village and appropriate sign and informative signboards will be placed as parts of landscaping planning and design.</w:t>
      </w:r>
    </w:p>
    <w:p w:rsidR="00A34A7B" w:rsidRDefault="00925543">
      <w:pPr>
        <w:ind w:left="720"/>
        <w:jc w:val="both"/>
        <w:rPr>
          <w:sz w:val="22"/>
          <w:szCs w:val="22"/>
        </w:rPr>
      </w:pPr>
      <w:r>
        <w:rPr>
          <w:sz w:val="22"/>
          <w:szCs w:val="22"/>
        </w:rPr>
        <w:t xml:space="preserve">* At the end of the pedestrian routes, a viewing platform whose technical specifications are listed in technical documents will be constructed on a location where visitors relax and watch natural and architectural beauties of the village. </w:t>
      </w:r>
    </w:p>
    <w:p w:rsidR="00A34A7B" w:rsidRDefault="00925543">
      <w:pPr>
        <w:numPr>
          <w:ilvl w:val="0"/>
          <w:numId w:val="1"/>
        </w:numPr>
        <w:pBdr>
          <w:top w:val="nil"/>
          <w:left w:val="nil"/>
          <w:bottom w:val="nil"/>
          <w:right w:val="nil"/>
          <w:between w:val="nil"/>
        </w:pBdr>
        <w:rPr>
          <w:b/>
          <w:color w:val="000000"/>
          <w:sz w:val="22"/>
          <w:szCs w:val="22"/>
        </w:rPr>
      </w:pPr>
      <w:r>
        <w:rPr>
          <w:b/>
          <w:color w:val="000000"/>
          <w:sz w:val="22"/>
          <w:szCs w:val="22"/>
        </w:rPr>
        <w:t>Provisional commencement date of the contract</w:t>
      </w:r>
    </w:p>
    <w:p w:rsidR="00A34A7B" w:rsidRDefault="00925543">
      <w:pPr>
        <w:ind w:left="709"/>
        <w:rPr>
          <w:sz w:val="22"/>
          <w:szCs w:val="22"/>
        </w:rPr>
      </w:pPr>
      <w:r>
        <w:rPr>
          <w:sz w:val="22"/>
          <w:szCs w:val="22"/>
        </w:rPr>
        <w:t>July 2020</w:t>
      </w:r>
    </w:p>
    <w:p w:rsidR="00A34A7B" w:rsidRDefault="00925543">
      <w:pPr>
        <w:numPr>
          <w:ilvl w:val="0"/>
          <w:numId w:val="1"/>
        </w:numPr>
        <w:pBdr>
          <w:top w:val="nil"/>
          <w:left w:val="nil"/>
          <w:bottom w:val="nil"/>
          <w:right w:val="nil"/>
          <w:between w:val="nil"/>
        </w:pBdr>
        <w:rPr>
          <w:color w:val="000000"/>
          <w:sz w:val="22"/>
          <w:szCs w:val="22"/>
        </w:rPr>
      </w:pPr>
      <w:r>
        <w:rPr>
          <w:color w:val="000000"/>
          <w:sz w:val="22"/>
          <w:szCs w:val="22"/>
        </w:rPr>
        <w:t>P</w:t>
      </w:r>
      <w:r>
        <w:rPr>
          <w:b/>
          <w:color w:val="000000"/>
          <w:sz w:val="22"/>
          <w:szCs w:val="22"/>
        </w:rPr>
        <w:t>eriod of implementation of tasks</w:t>
      </w:r>
    </w:p>
    <w:p w:rsidR="00A34A7B" w:rsidRDefault="00925543">
      <w:pPr>
        <w:ind w:left="709"/>
        <w:rPr>
          <w:b/>
          <w:sz w:val="22"/>
          <w:szCs w:val="22"/>
        </w:rPr>
      </w:pPr>
      <w:r>
        <w:rPr>
          <w:b/>
          <w:sz w:val="22"/>
          <w:szCs w:val="22"/>
        </w:rPr>
        <w:t xml:space="preserve">6 months </w:t>
      </w:r>
      <w:r>
        <w:rPr>
          <w:sz w:val="22"/>
          <w:szCs w:val="22"/>
        </w:rPr>
        <w:t>from the signing of the contract</w:t>
      </w:r>
      <w:r>
        <w:rPr>
          <w:b/>
          <w:sz w:val="22"/>
          <w:szCs w:val="22"/>
        </w:rPr>
        <w:t xml:space="preserve"> </w:t>
      </w:r>
    </w:p>
    <w:p w:rsidR="00A34A7B" w:rsidRDefault="00A34A7B">
      <w:pPr>
        <w:ind w:left="709"/>
        <w:rPr>
          <w:sz w:val="22"/>
          <w:szCs w:val="22"/>
        </w:rPr>
      </w:pPr>
    </w:p>
    <w:p w:rsidR="00A34A7B" w:rsidRDefault="00925543">
      <w:pPr>
        <w:ind w:left="360"/>
        <w:jc w:val="center"/>
        <w:rPr>
          <w:b/>
          <w:sz w:val="22"/>
          <w:szCs w:val="22"/>
        </w:rPr>
      </w:pPr>
      <w:r>
        <w:rPr>
          <w:b/>
          <w:sz w:val="22"/>
          <w:szCs w:val="22"/>
        </w:rPr>
        <w:t>TERMS OF PARTICIPATION</w:t>
      </w:r>
      <w:r>
        <w:rPr>
          <w:noProof/>
          <w:lang w:val="tr-TR" w:eastAsia="tr-TR"/>
        </w:rPr>
        <mc:AlternateContent>
          <mc:Choice Requires="wps">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22225" cy="22225"/>
                <wp:effectExtent l="0" t="0" r="0" b="0"/>
                <wp:wrapNone/>
                <wp:docPr id="5" name="Düz Ok Bağlayıcısı 5"/>
                <wp:cNvGraphicFramePr/>
                <a:graphic xmlns:a="http://schemas.openxmlformats.org/drawingml/2006/main">
                  <a:graphicData uri="http://schemas.microsoft.com/office/word/2010/wordprocessingShape">
                    <wps:wsp>
                      <wps:cNvCnPr/>
                      <wps:spPr>
                        <a:xfrm>
                          <a:off x="5374575" y="3791430"/>
                          <a:ext cx="5943600" cy="635"/>
                        </a:xfrm>
                        <a:prstGeom prst="straightConnector1">
                          <a:avLst/>
                        </a:prstGeom>
                        <a:solidFill>
                          <a:srgbClr val="FFFFFF"/>
                        </a:solidFill>
                        <a:ln w="22225" cap="flat" cmpd="sng">
                          <a:solidFill>
                            <a:srgbClr val="D4D4D4"/>
                          </a:solidFill>
                          <a:prstDash val="solid"/>
                          <a:round/>
                          <a:headEnd type="none" w="sm" len="sm"/>
                          <a:tailEnd type="none" w="sm" len="sm"/>
                        </a:ln>
                      </wps:spPr>
                      <wps:bodyPr/>
                    </wps:wsp>
                  </a:graphicData>
                </a:graphic>
              </wp:anchor>
            </w:drawing>
          </mc:Choice>
          <mc:Fallback>
            <w:pict>
              <v:shape w14:anchorId="2F387625" id="Düz Ok Bağlayıcısı 5" o:spid="_x0000_s1026" type="#_x0000_t32" style="position:absolute;margin-left:9pt;margin-top:0;width:1.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" filled="t" strokecolor="#d4d4d4" strokeweight="1.75pt">
                <v:stroke startarrowwidth="narrow" startarrowlength="short" endarrowwidth="narrow" endarrowlength="short"/>
              </v:shape>
            </w:pict>
          </mc:Fallback>
        </mc:AlternateContent>
      </w:r>
    </w:p>
    <w:p w:rsidR="00A34A7B" w:rsidRDefault="00925543">
      <w:pPr>
        <w:numPr>
          <w:ilvl w:val="0"/>
          <w:numId w:val="1"/>
        </w:numPr>
        <w:pBdr>
          <w:top w:val="nil"/>
          <w:left w:val="nil"/>
          <w:bottom w:val="nil"/>
          <w:right w:val="nil"/>
          <w:between w:val="nil"/>
        </w:pBdr>
        <w:rPr>
          <w:b/>
          <w:color w:val="000000"/>
          <w:sz w:val="22"/>
          <w:szCs w:val="22"/>
        </w:rPr>
      </w:pPr>
      <w:r>
        <w:rPr>
          <w:b/>
          <w:color w:val="000000"/>
          <w:sz w:val="22"/>
          <w:szCs w:val="22"/>
        </w:rPr>
        <w:t>Eligibility and rules of origin</w:t>
      </w:r>
    </w:p>
    <w:p w:rsidR="00A34A7B" w:rsidRDefault="00925543">
      <w:pPr>
        <w:pBdr>
          <w:top w:val="nil"/>
          <w:left w:val="nil"/>
          <w:bottom w:val="nil"/>
          <w:right w:val="nil"/>
          <w:between w:val="nil"/>
        </w:pBdr>
        <w:ind w:left="709"/>
        <w:jc w:val="both"/>
        <w:rPr>
          <w:color w:val="000000"/>
          <w:sz w:val="22"/>
          <w:szCs w:val="22"/>
          <w:highlight w:val="yellow"/>
        </w:rPr>
      </w:pPr>
      <w:r>
        <w:rPr>
          <w:color w:val="000000"/>
          <w:sz w:val="22"/>
          <w:szCs w:val="22"/>
        </w:rPr>
        <w:t>Participation in this tender procedure is open to all eligible tenderers at national and international levels, and it is a requirement that the owner and/or associates of the company must be the member(s) of Union of Chambers of Engineers and Architects</w:t>
      </w:r>
      <w:r>
        <w:rPr>
          <w:sz w:val="22"/>
          <w:szCs w:val="22"/>
        </w:rPr>
        <w:t xml:space="preserve"> either local or international </w:t>
      </w:r>
      <w:r>
        <w:rPr>
          <w:color w:val="000000"/>
          <w:sz w:val="22"/>
          <w:szCs w:val="22"/>
        </w:rPr>
        <w:t>and tenderers must provide evidence as part of technical offer of the tender. Participation is open to all natural persons who are nationals of and legal persons [participating either individually or in a grouping (consortium) of tenderers] which are effectively established in a  Member State of the European Union or in a eligible country or territory  as defined under the Regulation (EU) No 236/2014 establishing common rules and procedures for the implementation of the Union's instruments for external action (CIR) for the applicable Instrument under which the contract is financed (see also heading 17 below). Participation is open to international organisations. All goods purchased under the contract must originate from an eligible source country as defined above.</w:t>
      </w:r>
      <w:r>
        <w:rPr>
          <w:color w:val="000000"/>
        </w:rPr>
        <w:t xml:space="preserve"> </w:t>
      </w:r>
      <w:r>
        <w:rPr>
          <w:color w:val="000000"/>
          <w:sz w:val="22"/>
          <w:szCs w:val="22"/>
        </w:rPr>
        <w:t xml:space="preserve">However, the goods to be purchased may originate from any country, whenever the total price of the estimated quantity of those goods, as reflected in a separate item of the breakdown of the lump-sum price (Volume 4.2.3) is below EUR 100 000. </w:t>
      </w:r>
    </w:p>
    <w:p w:rsidR="00A34A7B" w:rsidRDefault="00925543">
      <w:pPr>
        <w:widowControl/>
        <w:spacing w:before="0" w:after="0"/>
        <w:ind w:left="709"/>
        <w:jc w:val="both"/>
        <w:rPr>
          <w:i/>
          <w:sz w:val="22"/>
          <w:szCs w:val="22"/>
        </w:rPr>
      </w:pPr>
      <w:r>
        <w:rPr>
          <w:sz w:val="22"/>
          <w:szCs w:val="22"/>
        </w:rPr>
        <w:t>Please</w:t>
      </w:r>
      <w:r>
        <w:rPr>
          <w:i/>
          <w:sz w:val="22"/>
          <w:szCs w:val="22"/>
        </w:rPr>
        <w:t xml:space="preserve"> </w:t>
      </w:r>
      <w:r>
        <w:rPr>
          <w:sz w:val="22"/>
          <w:szCs w:val="22"/>
        </w:rPr>
        <w:t>be aware that after the United Kingdom's withdrawal from the EU, the rules of access to EU procurement procedures of economic operators established in third countries and of goods originating from third countries</w:t>
      </w:r>
      <w:r>
        <w:rPr>
          <w:sz w:val="22"/>
          <w:szCs w:val="22"/>
          <w:vertAlign w:val="superscript"/>
        </w:rPr>
        <w:t>1</w:t>
      </w:r>
      <w:r>
        <w:rPr>
          <w:sz w:val="22"/>
          <w:szCs w:val="22"/>
        </w:rPr>
        <w:t xml:space="preserve"> will apply to candidates or tenderers from the United Kingdom, and to all candidates or tenderers proposing goods originating</w:t>
      </w:r>
      <w:r>
        <w:rPr>
          <w:sz w:val="22"/>
          <w:szCs w:val="22"/>
          <w:vertAlign w:val="superscript"/>
        </w:rPr>
        <w:t>1</w:t>
      </w:r>
      <w:r>
        <w:rPr>
          <w:sz w:val="22"/>
          <w:szCs w:val="22"/>
        </w:rPr>
        <w:t xml:space="preserve"> from the United Kingdom depending on the outcome of negotiations. In case such access is not provided by legal provisions in force at the time of the contract award, candidates or tenderers from the United Kingdom, and candidates or tenderers proposing goods originating</w:t>
      </w:r>
      <w:r>
        <w:rPr>
          <w:sz w:val="22"/>
          <w:szCs w:val="22"/>
          <w:vertAlign w:val="superscript"/>
        </w:rPr>
        <w:t>1</w:t>
      </w:r>
      <w:r>
        <w:rPr>
          <w:sz w:val="22"/>
          <w:szCs w:val="22"/>
        </w:rPr>
        <w:t xml:space="preserve"> from the United Kingdom could be rejected from the procurement procedure</w:t>
      </w:r>
      <w:r>
        <w:rPr>
          <w:i/>
          <w:sz w:val="22"/>
          <w:szCs w:val="22"/>
        </w:rPr>
        <w:t>.</w:t>
      </w:r>
    </w:p>
    <w:p w:rsidR="00A34A7B" w:rsidRDefault="00925543">
      <w:pPr>
        <w:widowControl/>
        <w:tabs>
          <w:tab w:val="left" w:pos="5850"/>
        </w:tabs>
        <w:spacing w:before="0" w:after="0"/>
        <w:ind w:left="426"/>
        <w:jc w:val="both"/>
        <w:rPr>
          <w:i/>
        </w:rPr>
      </w:pPr>
      <w:r>
        <w:rPr>
          <w:i/>
        </w:rPr>
        <w:tab/>
      </w:r>
    </w:p>
    <w:p w:rsidR="00A34A7B" w:rsidRDefault="00925543">
      <w:pPr>
        <w:widowControl/>
        <w:spacing w:before="0" w:after="0"/>
        <w:ind w:left="426"/>
        <w:jc w:val="both"/>
        <w:rPr>
          <w:sz w:val="18"/>
          <w:szCs w:val="18"/>
        </w:rPr>
      </w:pPr>
      <w:r>
        <w:rPr>
          <w:sz w:val="18"/>
          <w:szCs w:val="18"/>
          <w:vertAlign w:val="superscript"/>
        </w:rPr>
        <w:t>1</w:t>
      </w:r>
      <w:r>
        <w:rPr>
          <w:sz w:val="18"/>
          <w:szCs w:val="18"/>
        </w:rPr>
        <w:t xml:space="preserve">However, they may originate from any country when the amount of the supplies to be purchased is below EUR 100 000. </w:t>
      </w:r>
      <w:r>
        <w:rPr>
          <w:sz w:val="22"/>
          <w:szCs w:val="22"/>
        </w:rPr>
        <w:t>]</w:t>
      </w:r>
    </w:p>
    <w:p w:rsidR="00A34A7B" w:rsidRDefault="00A34A7B">
      <w:pPr>
        <w:pBdr>
          <w:top w:val="nil"/>
          <w:left w:val="nil"/>
          <w:bottom w:val="nil"/>
          <w:right w:val="nil"/>
          <w:between w:val="nil"/>
        </w:pBdr>
        <w:ind w:left="709"/>
        <w:jc w:val="both"/>
        <w:rPr>
          <w:color w:val="000000"/>
          <w:sz w:val="22"/>
          <w:szCs w:val="22"/>
        </w:rPr>
      </w:pPr>
    </w:p>
    <w:p w:rsidR="00A34A7B" w:rsidRDefault="00925543">
      <w:pPr>
        <w:keepNext/>
        <w:keepLines/>
        <w:numPr>
          <w:ilvl w:val="0"/>
          <w:numId w:val="1"/>
        </w:numPr>
        <w:pBdr>
          <w:top w:val="nil"/>
          <w:left w:val="nil"/>
          <w:bottom w:val="nil"/>
          <w:right w:val="nil"/>
          <w:between w:val="nil"/>
        </w:pBdr>
        <w:jc w:val="both"/>
        <w:rPr>
          <w:b/>
          <w:color w:val="000000"/>
          <w:sz w:val="22"/>
          <w:szCs w:val="22"/>
        </w:rPr>
      </w:pPr>
      <w:r>
        <w:rPr>
          <w:b/>
          <w:color w:val="000000"/>
          <w:sz w:val="22"/>
          <w:szCs w:val="22"/>
        </w:rPr>
        <w:t>Subcontracting</w:t>
      </w:r>
    </w:p>
    <w:p w:rsidR="00A34A7B" w:rsidRDefault="00925543">
      <w:pPr>
        <w:keepNext/>
        <w:keepLines/>
        <w:pBdr>
          <w:top w:val="nil"/>
          <w:left w:val="nil"/>
          <w:bottom w:val="nil"/>
          <w:right w:val="nil"/>
          <w:between w:val="nil"/>
        </w:pBdr>
        <w:ind w:left="720"/>
        <w:jc w:val="both"/>
        <w:rPr>
          <w:color w:val="000000"/>
          <w:sz w:val="22"/>
          <w:szCs w:val="22"/>
        </w:rPr>
      </w:pPr>
      <w:r>
        <w:rPr>
          <w:color w:val="000000"/>
          <w:sz w:val="22"/>
          <w:szCs w:val="22"/>
        </w:rPr>
        <w:t xml:space="preserve">Subcontracting is NOT allowed. </w:t>
      </w: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t>Grounds for exclusion</w:t>
      </w:r>
    </w:p>
    <w:p w:rsidR="00A34A7B" w:rsidRDefault="00925543">
      <w:pPr>
        <w:keepNext/>
        <w:keepLines/>
        <w:ind w:left="709"/>
        <w:jc w:val="both"/>
        <w:rPr>
          <w:sz w:val="22"/>
          <w:szCs w:val="22"/>
        </w:rPr>
      </w:pPr>
      <w:r>
        <w:rPr>
          <w:sz w:val="22"/>
          <w:szCs w:val="22"/>
        </w:rPr>
        <w:t>Natural persons, companies or undertakings falling into a situation set out in Section 2.6.10.1.1. (‘exclusion from participation in procurement procedures’) and Section 2.6.10.1.2. (‘rejection from a given procedure’) of the practical guide, are not entitled to participate in this tender procedure or be awarded a contract. Should they do so, their tender will be considered unsuitable or irregular respectively. Tenderers must provide declarations to the effect that they are not in any of the exclusion situations listed in Section 2.6.10.1. of the practical guide. The declarations must cover all the members of a joint venture/consortium. Tenderers guilty of making false declarations may also incur financial penalties up to 10% of the value of the contract and exclusion in accordance with the Financial Regulation in force.</w:t>
      </w:r>
    </w:p>
    <w:p w:rsidR="00A34A7B" w:rsidRDefault="00925543">
      <w:pPr>
        <w:keepNext/>
        <w:keepLines/>
        <w:ind w:left="709"/>
        <w:jc w:val="both"/>
        <w:rPr>
          <w:sz w:val="22"/>
          <w:szCs w:val="22"/>
        </w:rPr>
      </w:pPr>
      <w:r>
        <w:rPr>
          <w:sz w:val="22"/>
          <w:szCs w:val="22"/>
        </w:rPr>
        <w:t>Those exclusion situations apply to all members of a joint venture/consortium, all subcontractors and all suppliers to tenderers, as well as to all entities upon whose capacity the tenderer relies for the selection criteria.</w:t>
      </w:r>
    </w:p>
    <w:p w:rsidR="00A34A7B" w:rsidRDefault="00925543">
      <w:pPr>
        <w:keepNext/>
        <w:keepLines/>
        <w:ind w:left="709"/>
        <w:jc w:val="both"/>
        <w:rPr>
          <w:sz w:val="22"/>
          <w:szCs w:val="22"/>
        </w:rPr>
      </w:pPr>
      <w:r>
        <w:rPr>
          <w:sz w:val="22"/>
          <w:szCs w:val="22"/>
        </w:rPr>
        <w:t>Tenderers included in the lists of EU restrictive measures (see Section 2.4. of the PRAG) at the moment of the award decision cannot be awarded the contract.</w:t>
      </w: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t>Number of tenders</w:t>
      </w:r>
    </w:p>
    <w:p w:rsidR="00A34A7B" w:rsidRDefault="00925543">
      <w:pPr>
        <w:ind w:left="709"/>
        <w:jc w:val="both"/>
        <w:rPr>
          <w:sz w:val="22"/>
          <w:szCs w:val="22"/>
        </w:rPr>
      </w:pPr>
      <w:r>
        <w:rPr>
          <w:sz w:val="22"/>
          <w:szCs w:val="22"/>
        </w:rPr>
        <w:t xml:space="preserve">Tenderers may submit </w:t>
      </w:r>
      <w:r>
        <w:rPr>
          <w:b/>
          <w:sz w:val="22"/>
          <w:szCs w:val="22"/>
        </w:rPr>
        <w:t>only one tender</w:t>
      </w:r>
      <w:r>
        <w:rPr>
          <w:sz w:val="22"/>
          <w:szCs w:val="22"/>
        </w:rPr>
        <w:t>. Tenders for parts of the works will NOT be considered. Tenderers may NOT submit a tender for a variant solution in addition to their tender for the works required in the tender dossier.</w:t>
      </w:r>
    </w:p>
    <w:p w:rsidR="00A34A7B" w:rsidRDefault="00925543">
      <w:pPr>
        <w:keepNext/>
        <w:keepLines/>
        <w:jc w:val="both"/>
        <w:rPr>
          <w:sz w:val="22"/>
          <w:szCs w:val="22"/>
        </w:rPr>
      </w:pPr>
      <w:r>
        <w:rPr>
          <w:noProof/>
          <w:lang w:val="tr-TR" w:eastAsia="tr-TR"/>
        </w:rPr>
        <mc:AlternateContent>
          <mc:Choice Requires="wps">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0</wp:posOffset>
                </wp:positionV>
                <wp:extent cx="22225" cy="22225"/>
                <wp:effectExtent l="0" t="0" r="0" b="0"/>
                <wp:wrapNone/>
                <wp:docPr id="3" name="Düz Ok Bağlayıcısı 3"/>
                <wp:cNvGraphicFramePr/>
                <a:graphic xmlns:a="http://schemas.openxmlformats.org/drawingml/2006/main">
                  <a:graphicData uri="http://schemas.microsoft.com/office/word/2010/wordprocessingShape">
                    <wps:wsp>
                      <wps:cNvCnPr/>
                      <wps:spPr>
                        <a:xfrm>
                          <a:off x="5346000" y="3932400"/>
                          <a:ext cx="5943600" cy="635"/>
                        </a:xfrm>
                        <a:prstGeom prst="straightConnector1">
                          <a:avLst/>
                        </a:prstGeom>
                        <a:solidFill>
                          <a:srgbClr val="FFFFFF"/>
                        </a:solidFill>
                        <a:ln w="22225" cap="flat" cmpd="sng">
                          <a:solidFill>
                            <a:srgbClr val="D4D4D4"/>
                          </a:solidFill>
                          <a:prstDash val="solid"/>
                          <a:round/>
                          <a:headEnd type="none" w="sm" len="sm"/>
                          <a:tailEnd type="none" w="sm" len="sm"/>
                        </a:ln>
                      </wps:spPr>
                      <wps:bodyPr/>
                    </wps:wsp>
                  </a:graphicData>
                </a:graphic>
              </wp:anchor>
            </w:drawing>
          </mc:Choice>
          <mc:Fallback>
            <w:pict>
              <v:shape w14:anchorId="06F757B5" id="Düz Ok Bağlayıcısı 3" o:spid="_x0000_s1026" type="#_x0000_t32" style="position:absolute;margin-left:9pt;margin-top:0;width:1.75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" filled="t" strokecolor="#d4d4d4" strokeweight="1.75pt">
                <v:stroke startarrowwidth="narrow" startarrowlength="short" endarrowwidth="narrow" endarrowlength="short"/>
              </v:shape>
            </w:pict>
          </mc:Fallback>
        </mc:AlternateContent>
      </w:r>
    </w:p>
    <w:p w:rsidR="00A34A7B" w:rsidRDefault="00925543">
      <w:pPr>
        <w:keepNext/>
        <w:keepLines/>
        <w:ind w:left="360"/>
        <w:jc w:val="both"/>
        <w:rPr>
          <w:b/>
          <w:sz w:val="22"/>
          <w:szCs w:val="22"/>
        </w:rPr>
      </w:pPr>
      <w:r>
        <w:rPr>
          <w:b/>
          <w:sz w:val="22"/>
          <w:szCs w:val="22"/>
        </w:rPr>
        <w:t>SELECTION AND AWARD CRITERIA</w:t>
      </w: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t>Selection criteria</w:t>
      </w:r>
    </w:p>
    <w:p w:rsidR="00A34A7B" w:rsidRDefault="00925543">
      <w:pPr>
        <w:pStyle w:val="Balk3"/>
        <w:ind w:left="720" w:firstLine="0"/>
      </w:pPr>
      <w:r>
        <w:t>In order to be eligible for the award of the contract, tenderers must provide evidence that they meet the selection criteria. If a tender is submitted by a consortium, unless specified, the selection criteria will be applied to the consortium as a whole.</w:t>
      </w:r>
    </w:p>
    <w:p w:rsidR="00A34A7B" w:rsidRDefault="00925543">
      <w:pPr>
        <w:ind w:left="720"/>
        <w:jc w:val="both"/>
        <w:rPr>
          <w:sz w:val="22"/>
          <w:szCs w:val="22"/>
        </w:rPr>
      </w:pPr>
      <w:r>
        <w:rPr>
          <w:sz w:val="22"/>
          <w:szCs w:val="22"/>
        </w:rPr>
        <w:t>The selection criteria for each tenderer are as follows:</w:t>
      </w:r>
    </w:p>
    <w:p w:rsidR="00A34A7B" w:rsidRDefault="00925543">
      <w:pPr>
        <w:ind w:left="720"/>
        <w:jc w:val="both"/>
        <w:rPr>
          <w:b/>
          <w:i/>
          <w:sz w:val="22"/>
          <w:szCs w:val="22"/>
          <w:u w:val="single"/>
        </w:rPr>
      </w:pPr>
      <w:r>
        <w:rPr>
          <w:b/>
          <w:i/>
          <w:sz w:val="22"/>
          <w:szCs w:val="22"/>
        </w:rPr>
        <w:t>14.a</w:t>
      </w:r>
      <w:r>
        <w:rPr>
          <w:b/>
          <w:i/>
          <w:sz w:val="22"/>
          <w:szCs w:val="22"/>
        </w:rPr>
        <w:tab/>
      </w:r>
      <w:r>
        <w:rPr>
          <w:b/>
          <w:i/>
          <w:sz w:val="22"/>
          <w:szCs w:val="22"/>
          <w:u w:val="single"/>
        </w:rPr>
        <w:t>Economic and financial capacity of candidate:</w:t>
      </w:r>
    </w:p>
    <w:p w:rsidR="00A34A7B" w:rsidRDefault="00925543">
      <w:pPr>
        <w:ind w:left="1134" w:hanging="284"/>
        <w:jc w:val="both"/>
        <w:rPr>
          <w:sz w:val="22"/>
          <w:szCs w:val="22"/>
        </w:rPr>
      </w:pPr>
      <w:r>
        <w:rPr>
          <w:b/>
          <w:sz w:val="22"/>
          <w:szCs w:val="22"/>
        </w:rPr>
        <w:t>-</w:t>
      </w:r>
      <w:r>
        <w:rPr>
          <w:b/>
          <w:sz w:val="22"/>
          <w:szCs w:val="22"/>
        </w:rPr>
        <w:tab/>
      </w:r>
      <w:r>
        <w:rPr>
          <w:sz w:val="22"/>
          <w:szCs w:val="22"/>
        </w:rPr>
        <w:t>the average annual turnover of the tenderer in the past 3 years must be at least 100.000 EUR (One Hundred Thousand Euro).  Inforeuro currency will be used for exchanging rates if needed.</w:t>
      </w:r>
    </w:p>
    <w:p w:rsidR="00A34A7B" w:rsidRDefault="00925543">
      <w:pPr>
        <w:ind w:left="1134" w:hanging="284"/>
        <w:jc w:val="both"/>
        <w:rPr>
          <w:sz w:val="22"/>
          <w:szCs w:val="22"/>
        </w:rPr>
      </w:pPr>
      <w:r>
        <w:rPr>
          <w:b/>
          <w:sz w:val="22"/>
          <w:szCs w:val="22"/>
        </w:rPr>
        <w:t>-</w:t>
      </w:r>
      <w:r>
        <w:rPr>
          <w:sz w:val="22"/>
          <w:szCs w:val="22"/>
        </w:rPr>
        <w:tab/>
        <w:t>the tenderer must have access to an amount of credit which exceeds 15.000 EUR &lt;Fifteen Thousand EUR&gt; Evidence must be enclosed in the tender dossier. Inforeuro currency will be used for exchanging rates if needed.</w:t>
      </w:r>
    </w:p>
    <w:p w:rsidR="00A34A7B" w:rsidRDefault="00925543">
      <w:pPr>
        <w:ind w:left="1440" w:hanging="720"/>
        <w:jc w:val="both"/>
        <w:rPr>
          <w:b/>
          <w:i/>
          <w:sz w:val="22"/>
          <w:szCs w:val="22"/>
        </w:rPr>
      </w:pPr>
      <w:r>
        <w:rPr>
          <w:b/>
          <w:i/>
          <w:sz w:val="22"/>
          <w:szCs w:val="22"/>
        </w:rPr>
        <w:t>14.b</w:t>
      </w:r>
      <w:r>
        <w:rPr>
          <w:b/>
          <w:i/>
          <w:sz w:val="22"/>
          <w:szCs w:val="22"/>
        </w:rPr>
        <w:tab/>
      </w:r>
      <w:r>
        <w:rPr>
          <w:b/>
          <w:i/>
          <w:sz w:val="22"/>
          <w:szCs w:val="22"/>
          <w:u w:val="single"/>
        </w:rPr>
        <w:t>Technical and professional capacity of candidate:</w:t>
      </w:r>
    </w:p>
    <w:p w:rsidR="00A34A7B" w:rsidRDefault="00925543">
      <w:pPr>
        <w:ind w:left="1134" w:hanging="284"/>
        <w:jc w:val="both"/>
        <w:rPr>
          <w:sz w:val="22"/>
          <w:szCs w:val="22"/>
        </w:rPr>
      </w:pPr>
      <w:r>
        <w:rPr>
          <w:b/>
          <w:sz w:val="22"/>
          <w:szCs w:val="22"/>
        </w:rPr>
        <w:t>-</w:t>
      </w:r>
      <w:r>
        <w:rPr>
          <w:b/>
          <w:sz w:val="22"/>
          <w:szCs w:val="22"/>
        </w:rPr>
        <w:tab/>
      </w:r>
      <w:r>
        <w:rPr>
          <w:sz w:val="22"/>
          <w:szCs w:val="22"/>
        </w:rPr>
        <w:t xml:space="preserve">it must have completed at least 1 (one) project of the same nature – construction works with </w:t>
      </w:r>
      <w:r>
        <w:rPr>
          <w:b/>
          <w:sz w:val="22"/>
          <w:szCs w:val="22"/>
        </w:rPr>
        <w:t>similar complexity</w:t>
      </w:r>
      <w:r>
        <w:rPr>
          <w:sz w:val="22"/>
          <w:szCs w:val="22"/>
        </w:rPr>
        <w:t xml:space="preserve"> as the works </w:t>
      </w:r>
      <w:r>
        <w:rPr>
          <w:b/>
          <w:sz w:val="22"/>
          <w:szCs w:val="22"/>
        </w:rPr>
        <w:t>concerned</w:t>
      </w:r>
      <w:r>
        <w:rPr>
          <w:sz w:val="22"/>
          <w:szCs w:val="22"/>
        </w:rPr>
        <w:t xml:space="preserve"> by the tender or </w:t>
      </w:r>
      <w:r>
        <w:rPr>
          <w:b/>
          <w:sz w:val="22"/>
          <w:szCs w:val="22"/>
        </w:rPr>
        <w:t>any construction works</w:t>
      </w:r>
      <w:r>
        <w:rPr>
          <w:sz w:val="22"/>
          <w:szCs w:val="22"/>
        </w:rPr>
        <w:t xml:space="preserve"> with </w:t>
      </w:r>
      <w:r>
        <w:rPr>
          <w:b/>
          <w:sz w:val="22"/>
          <w:szCs w:val="22"/>
        </w:rPr>
        <w:lastRenderedPageBreak/>
        <w:t>the value at least 70%</w:t>
      </w:r>
      <w:r>
        <w:rPr>
          <w:sz w:val="22"/>
          <w:szCs w:val="22"/>
        </w:rPr>
        <w:t xml:space="preserve"> from the value of the tender offer and implemented during the following period: 16.06.2015 - 16.06.2020. The contracting authority reserves the right to ask for copies of certificates of final acceptance signed by the supervisors/contracting authority of the projects concerned.</w:t>
      </w:r>
    </w:p>
    <w:p w:rsidR="00A34A7B" w:rsidRDefault="00925543">
      <w:pPr>
        <w:ind w:left="1134" w:hanging="284"/>
        <w:jc w:val="both"/>
        <w:rPr>
          <w:sz w:val="22"/>
          <w:szCs w:val="22"/>
        </w:rPr>
      </w:pPr>
      <w:r>
        <w:rPr>
          <w:b/>
          <w:sz w:val="22"/>
          <w:szCs w:val="22"/>
        </w:rPr>
        <w:t>-</w:t>
      </w:r>
      <w:r>
        <w:rPr>
          <w:sz w:val="22"/>
          <w:szCs w:val="22"/>
        </w:rPr>
        <w:t xml:space="preserve">   The tenderer should provide one site manager (chef) who must be either Architect, Landscape Architect, or Civil Engineer; one Civil Engineer and one cadastral mapping technician as main experts that will manage the construction works in Hamdibey, Kirklareli, Turkey. </w:t>
      </w:r>
    </w:p>
    <w:p w:rsidR="00A34A7B" w:rsidRDefault="00925543">
      <w:pPr>
        <w:ind w:left="1134" w:hanging="284"/>
        <w:jc w:val="both"/>
        <w:rPr>
          <w:sz w:val="22"/>
          <w:szCs w:val="22"/>
        </w:rPr>
      </w:pPr>
      <w:r>
        <w:rPr>
          <w:b/>
          <w:sz w:val="22"/>
          <w:szCs w:val="22"/>
        </w:rPr>
        <w:t>-</w:t>
      </w:r>
      <w:r>
        <w:rPr>
          <w:sz w:val="22"/>
          <w:szCs w:val="22"/>
        </w:rPr>
        <w:t xml:space="preserve"> If needed, the tenderer must provide travel and accommodation for the project supervisor who will be assigned by the contracting authority. This is a prerequisite and the tenderer accepts this condition by signing the contract form.  </w:t>
      </w:r>
    </w:p>
    <w:p w:rsidR="00A34A7B" w:rsidRDefault="00925543">
      <w:pPr>
        <w:ind w:left="1134" w:hanging="284"/>
        <w:jc w:val="both"/>
        <w:rPr>
          <w:sz w:val="22"/>
          <w:szCs w:val="22"/>
          <w:u w:val="single"/>
        </w:rPr>
      </w:pPr>
      <w:r>
        <w:rPr>
          <w:sz w:val="22"/>
          <w:szCs w:val="22"/>
          <w:u w:val="single"/>
        </w:rPr>
        <w:t>Capacity-providing entities:</w:t>
      </w:r>
    </w:p>
    <w:p w:rsidR="00A34A7B" w:rsidRDefault="00925543">
      <w:pPr>
        <w:ind w:left="720"/>
        <w:jc w:val="both"/>
        <w:rPr>
          <w:sz w:val="22"/>
          <w:szCs w:val="22"/>
        </w:rPr>
      </w:pPr>
      <w:r>
        <w:rPr>
          <w:sz w:val="22"/>
          <w:szCs w:val="22"/>
        </w:rPr>
        <w:t xml:space="preserve">An economic operator may, where appropriate and for a particular contract, rely on the capacity of other entities, regardless of the legal nature of the links which it has with them. If the tenderer relies on other entities, it must prove to the contracting authority that it will have at its disposal the resources necessary to perform the contract by producing a commitment on the part of those entities to place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tender should include a separate document providing data on this third entity for the relevant selection criterion. Proof of capacity must be provided at the request of the contracting authority.  </w:t>
      </w:r>
    </w:p>
    <w:p w:rsidR="00A34A7B" w:rsidRDefault="00925543">
      <w:pPr>
        <w:ind w:left="720"/>
        <w:jc w:val="both"/>
        <w:rPr>
          <w:sz w:val="22"/>
          <w:szCs w:val="22"/>
        </w:rPr>
      </w:pPr>
      <w:r>
        <w:rPr>
          <w:sz w:val="22"/>
          <w:szCs w:val="22"/>
        </w:rPr>
        <w:t>With regard to technical and professional criteria, a tenderer may only rely on the capacities of other entities where the latter will perform the works for which these capacities are required.</w:t>
      </w:r>
    </w:p>
    <w:p w:rsidR="00A34A7B" w:rsidRDefault="00925543">
      <w:pPr>
        <w:ind w:left="720"/>
        <w:jc w:val="both"/>
        <w:rPr>
          <w:sz w:val="22"/>
          <w:szCs w:val="22"/>
        </w:rPr>
      </w:pPr>
      <w:r>
        <w:rPr>
          <w:sz w:val="22"/>
          <w:szCs w:val="22"/>
        </w:rPr>
        <w:t>With regard to economic and financial criteria, the entities upon whose capacity the tenderer relies, become jointly and severally liable for the performance of the contract.</w:t>
      </w:r>
    </w:p>
    <w:p w:rsidR="00A34A7B" w:rsidRDefault="00925543">
      <w:pPr>
        <w:widowControl/>
        <w:spacing w:after="0"/>
        <w:ind w:left="644" w:right="360"/>
        <w:jc w:val="both"/>
      </w:pPr>
      <w:r>
        <w:t xml:space="preserve">Financial data to be provided by the tenderer in relation to the selection criteria must be expressed in EURO. If applicable, where a candidate refers to amounts originally expressed in a different currency, the conversion to EURO shall be made in accordance with the InforEuro exchange rate of </w:t>
      </w:r>
      <w:r>
        <w:rPr>
          <w:b/>
        </w:rPr>
        <w:t>June 2020</w:t>
      </w:r>
      <w:r>
        <w:t xml:space="preserve"> which can be found at the following address: </w:t>
      </w:r>
      <w:hyperlink r:id="rId8">
        <w:r>
          <w:rPr>
            <w:color w:val="0000FF"/>
            <w:u w:val="single"/>
          </w:rPr>
          <w:t>http://ec.europa.eu/budget/graphs/inforeuro.html</w:t>
        </w:r>
      </w:hyperlink>
      <w:r>
        <w:t>.</w:t>
      </w:r>
    </w:p>
    <w:p w:rsidR="00A34A7B" w:rsidRDefault="00A34A7B">
      <w:pPr>
        <w:ind w:left="1134" w:hanging="284"/>
        <w:jc w:val="both"/>
        <w:rPr>
          <w:sz w:val="22"/>
          <w:szCs w:val="22"/>
          <w:highlight w:val="yellow"/>
        </w:rPr>
      </w:pP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t>Award criteria</w:t>
      </w:r>
    </w:p>
    <w:p w:rsidR="00A34A7B" w:rsidRDefault="00925543">
      <w:pPr>
        <w:ind w:left="426"/>
        <w:jc w:val="both"/>
        <w:rPr>
          <w:sz w:val="22"/>
          <w:szCs w:val="22"/>
        </w:rPr>
      </w:pPr>
      <w:r>
        <w:rPr>
          <w:sz w:val="22"/>
          <w:szCs w:val="22"/>
        </w:rPr>
        <w:t xml:space="preserve">The sole award criterion will be the price: The most economically advantageous tender is the technically compliant tender with the lowest price. </w:t>
      </w:r>
    </w:p>
    <w:p w:rsidR="00A34A7B" w:rsidRDefault="00925543">
      <w:pPr>
        <w:jc w:val="both"/>
        <w:rPr>
          <w:sz w:val="22"/>
          <w:szCs w:val="22"/>
        </w:rPr>
      </w:pPr>
      <w:r>
        <w:rPr>
          <w:noProof/>
          <w:lang w:val="tr-TR" w:eastAsia="tr-TR"/>
        </w:rPr>
        <mc:AlternateContent>
          <mc:Choice Requires="wps">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0</wp:posOffset>
                </wp:positionV>
                <wp:extent cx="22225" cy="22225"/>
                <wp:effectExtent l="0" t="0" r="0" b="0"/>
                <wp:wrapNone/>
                <wp:docPr id="2" name="Düz Ok Bağlayıcısı 2"/>
                <wp:cNvGraphicFramePr/>
                <a:graphic xmlns:a="http://schemas.openxmlformats.org/drawingml/2006/main">
                  <a:graphicData uri="http://schemas.microsoft.com/office/word/2010/wordprocessingShape">
                    <wps:wsp>
                      <wps:cNvCnPr/>
                      <wps:spPr>
                        <a:xfrm>
                          <a:off x="5346000" y="3932400"/>
                          <a:ext cx="5943600" cy="635"/>
                        </a:xfrm>
                        <a:prstGeom prst="straightConnector1">
                          <a:avLst/>
                        </a:prstGeom>
                        <a:solidFill>
                          <a:srgbClr val="FFFFFF"/>
                        </a:solidFill>
                        <a:ln w="22225" cap="flat" cmpd="sng">
                          <a:solidFill>
                            <a:srgbClr val="D4D4D4"/>
                          </a:solidFill>
                          <a:prstDash val="solid"/>
                          <a:round/>
                          <a:headEnd type="none" w="sm" len="sm"/>
                          <a:tailEnd type="none" w="sm" len="sm"/>
                        </a:ln>
                      </wps:spPr>
                      <wps:bodyPr/>
                    </wps:wsp>
                  </a:graphicData>
                </a:graphic>
              </wp:anchor>
            </w:drawing>
          </mc:Choice>
          <mc:Fallback>
            <w:pict>
              <v:shape w14:anchorId="7E70764C" id="Düz Ok Bağlayıcısı 2" o:spid="_x0000_s1026" type="#_x0000_t32" style="position:absolute;margin-left:9pt;margin-top:0;width:1.75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" filled="t" strokecolor="#d4d4d4" strokeweight="1.75pt">
                <v:stroke startarrowwidth="narrow" startarrowlength="short" endarrowwidth="narrow" endarrowlength="short"/>
              </v:shape>
            </w:pict>
          </mc:Fallback>
        </mc:AlternateContent>
      </w:r>
    </w:p>
    <w:p w:rsidR="00A34A7B" w:rsidRDefault="00925543">
      <w:pPr>
        <w:ind w:left="360"/>
        <w:jc w:val="both"/>
        <w:rPr>
          <w:b/>
          <w:sz w:val="22"/>
          <w:szCs w:val="22"/>
        </w:rPr>
      </w:pPr>
      <w:r>
        <w:rPr>
          <w:b/>
          <w:sz w:val="22"/>
          <w:szCs w:val="22"/>
        </w:rPr>
        <w:t>TENDERING</w:t>
      </w: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t xml:space="preserve">Ethics clauses </w:t>
      </w:r>
    </w:p>
    <w:p w:rsidR="00A34A7B" w:rsidRDefault="00925543">
      <w:pPr>
        <w:pBdr>
          <w:top w:val="nil"/>
          <w:left w:val="nil"/>
          <w:bottom w:val="nil"/>
          <w:right w:val="nil"/>
          <w:between w:val="nil"/>
        </w:pBdr>
        <w:ind w:left="720"/>
        <w:jc w:val="both"/>
        <w:rPr>
          <w:color w:val="000000"/>
          <w:sz w:val="22"/>
          <w:szCs w:val="22"/>
        </w:rPr>
      </w:pPr>
      <w:r>
        <w:rPr>
          <w:color w:val="000000"/>
          <w:sz w:val="22"/>
          <w:szCs w:val="22"/>
        </w:rPr>
        <w:t xml:space="preserve">The tenderers are subject to the ethics clauses, detailed in Section 2.5.6. of the practical guide. </w:t>
      </w: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lastRenderedPageBreak/>
        <w:t>Legal basis</w:t>
      </w:r>
      <w:r>
        <w:rPr>
          <w:b/>
          <w:color w:val="000000"/>
          <w:sz w:val="22"/>
          <w:szCs w:val="22"/>
          <w:vertAlign w:val="superscript"/>
        </w:rPr>
        <w:footnoteReference w:id="1"/>
      </w:r>
    </w:p>
    <w:p w:rsidR="00A34A7B" w:rsidRDefault="00925543">
      <w:pPr>
        <w:widowControl/>
        <w:spacing w:before="0" w:after="0"/>
        <w:ind w:left="720"/>
        <w:jc w:val="both"/>
      </w:pPr>
      <w:r>
        <w:t>Regulation (EU) No 236/2014 of the European Parliament and of the Council of 11 March 2014 laying down common rules and procedures for the implementation of the Union's instruments for financing external action and Instrument for Pre-accession Assistance (IPA II) – the IPA II general regulation;</w:t>
      </w:r>
    </w:p>
    <w:p w:rsidR="00A34A7B" w:rsidRDefault="00925543">
      <w:pPr>
        <w:numPr>
          <w:ilvl w:val="0"/>
          <w:numId w:val="1"/>
        </w:numPr>
        <w:pBdr>
          <w:top w:val="nil"/>
          <w:left w:val="nil"/>
          <w:bottom w:val="nil"/>
          <w:right w:val="nil"/>
          <w:between w:val="nil"/>
        </w:pBdr>
        <w:jc w:val="both"/>
        <w:rPr>
          <w:b/>
          <w:color w:val="000000"/>
          <w:sz w:val="22"/>
          <w:szCs w:val="22"/>
        </w:rPr>
      </w:pPr>
      <w:r>
        <w:rPr>
          <w:b/>
          <w:color w:val="000000"/>
          <w:sz w:val="22"/>
          <w:szCs w:val="22"/>
        </w:rPr>
        <w:t>Appeals</w:t>
      </w:r>
    </w:p>
    <w:p w:rsidR="00A34A7B" w:rsidRDefault="00925543">
      <w:pPr>
        <w:ind w:left="709"/>
        <w:jc w:val="both"/>
        <w:rPr>
          <w:sz w:val="22"/>
          <w:szCs w:val="22"/>
        </w:rPr>
      </w:pPr>
      <w:r>
        <w:rPr>
          <w:sz w:val="22"/>
          <w:szCs w:val="22"/>
        </w:rPr>
        <w:t>Tenderers believing that they have been harmed by an error or irregularity during the award process may file a complaint. See further Section 2.12. of the practical guide.</w:t>
      </w:r>
    </w:p>
    <w:p w:rsidR="00A34A7B" w:rsidRDefault="00925543">
      <w:pPr>
        <w:numPr>
          <w:ilvl w:val="0"/>
          <w:numId w:val="1"/>
        </w:numPr>
        <w:pBdr>
          <w:top w:val="nil"/>
          <w:left w:val="nil"/>
          <w:bottom w:val="nil"/>
          <w:right w:val="nil"/>
          <w:between w:val="nil"/>
        </w:pBdr>
        <w:rPr>
          <w:b/>
          <w:color w:val="000000"/>
          <w:sz w:val="22"/>
          <w:szCs w:val="22"/>
        </w:rPr>
      </w:pPr>
      <w:r>
        <w:rPr>
          <w:b/>
          <w:color w:val="000000"/>
        </w:rPr>
        <w:t>Additional information</w:t>
      </w:r>
      <w:r>
        <w:rPr>
          <w:color w:val="000000"/>
        </w:rPr>
        <w:t xml:space="preserve">: </w:t>
      </w:r>
      <w:r>
        <w:rPr>
          <w:b/>
          <w:color w:val="000000"/>
          <w:sz w:val="22"/>
          <w:szCs w:val="22"/>
        </w:rPr>
        <w:t>Tender guarantee</w:t>
      </w:r>
    </w:p>
    <w:p w:rsidR="00064D2B" w:rsidRDefault="00064D2B" w:rsidP="00064D2B">
      <w:pPr>
        <w:pBdr>
          <w:top w:val="nil"/>
          <w:left w:val="nil"/>
          <w:bottom w:val="nil"/>
          <w:right w:val="nil"/>
          <w:between w:val="nil"/>
        </w:pBdr>
        <w:ind w:left="720"/>
        <w:jc w:val="both"/>
        <w:rPr>
          <w:color w:val="000000"/>
          <w:sz w:val="22"/>
          <w:szCs w:val="22"/>
        </w:rPr>
      </w:pPr>
      <w:r>
        <w:rPr>
          <w:color w:val="000000"/>
          <w:sz w:val="22"/>
          <w:szCs w:val="22"/>
        </w:rPr>
        <w:t xml:space="preserve">19.1 </w:t>
      </w:r>
      <w:r w:rsidR="00925543">
        <w:rPr>
          <w:color w:val="000000"/>
          <w:sz w:val="22"/>
          <w:szCs w:val="22"/>
        </w:rPr>
        <w:t xml:space="preserve">Tenderers must provide a tender guarantee of </w:t>
      </w:r>
      <w:r w:rsidR="00925543">
        <w:rPr>
          <w:b/>
          <w:color w:val="000000"/>
          <w:sz w:val="22"/>
          <w:szCs w:val="22"/>
        </w:rPr>
        <w:t>2.500,00 euros</w:t>
      </w:r>
      <w:r w:rsidR="00925543">
        <w:rPr>
          <w:color w:val="000000"/>
          <w:sz w:val="22"/>
          <w:szCs w:val="22"/>
        </w:rPr>
        <w:t xml:space="preserve"> when submitting their tender. This guarantee will be released to unsuccessful tenderers once the tender procedure has been completed and to the successful tenderer[s] upon signature of the contract by all parties.</w:t>
      </w:r>
    </w:p>
    <w:p w:rsidR="00064D2B" w:rsidRPr="009925B5" w:rsidRDefault="00064D2B" w:rsidP="00064D2B">
      <w:pPr>
        <w:pStyle w:val="Balk3"/>
        <w:numPr>
          <w:ilvl w:val="0"/>
          <w:numId w:val="0"/>
        </w:numPr>
        <w:ind w:left="709"/>
      </w:pPr>
      <w:bookmarkStart w:id="1" w:name="_GoBack"/>
      <w:bookmarkEnd w:id="1"/>
      <w:r w:rsidRPr="009925B5">
        <w:rPr>
          <w:lang w:val="tr-TR"/>
        </w:rPr>
        <w:t xml:space="preserve">19.2 </w:t>
      </w:r>
      <w:r w:rsidRPr="009925B5">
        <w:t>It may be provided in the form of a bank guarantee, a banker’s draft, a certified cheque, a guarantee provided by an insurance and/or guarantee company or an irrevocable letter of credit made out to the contracting authority.</w:t>
      </w:r>
    </w:p>
    <w:p w:rsidR="00064D2B" w:rsidRPr="009925B5" w:rsidRDefault="003A33D6" w:rsidP="00064D2B">
      <w:pPr>
        <w:pStyle w:val="Balk3"/>
        <w:numPr>
          <w:ilvl w:val="0"/>
          <w:numId w:val="0"/>
        </w:numPr>
        <w:ind w:left="709"/>
      </w:pPr>
      <w:r w:rsidRPr="009925B5">
        <w:rPr>
          <w:lang w:val="tr-TR"/>
        </w:rPr>
        <w:t>19.3</w:t>
      </w:r>
      <w:r w:rsidR="00064D2B" w:rsidRPr="009925B5">
        <w:rPr>
          <w:lang w:val="tr-TR"/>
        </w:rPr>
        <w:t xml:space="preserve"> </w:t>
      </w:r>
      <w:r w:rsidR="00064D2B" w:rsidRPr="009925B5">
        <w:t>The tender guarantee must remain valid for 45 days beyond the period of validity of the tender, including any extensions, and be issued to the contracting authority for the requisite amount.</w:t>
      </w:r>
    </w:p>
    <w:p w:rsidR="00064D2B" w:rsidRDefault="00064D2B" w:rsidP="009925B5">
      <w:pPr>
        <w:pBdr>
          <w:top w:val="nil"/>
          <w:left w:val="nil"/>
          <w:bottom w:val="nil"/>
          <w:right w:val="nil"/>
          <w:between w:val="nil"/>
        </w:pBdr>
        <w:ind w:left="284"/>
        <w:jc w:val="both"/>
        <w:rPr>
          <w:color w:val="000000"/>
          <w:sz w:val="22"/>
          <w:szCs w:val="22"/>
        </w:rPr>
      </w:pPr>
    </w:p>
    <w:p w:rsidR="00A34A7B" w:rsidRDefault="00A34A7B" w:rsidP="009925B5">
      <w:pPr>
        <w:pBdr>
          <w:top w:val="nil"/>
          <w:left w:val="nil"/>
          <w:bottom w:val="nil"/>
          <w:right w:val="nil"/>
          <w:between w:val="nil"/>
        </w:pBdr>
        <w:ind w:left="284"/>
        <w:rPr>
          <w:color w:val="000000"/>
        </w:rPr>
      </w:pPr>
    </w:p>
    <w:p w:rsidR="00A34A7B" w:rsidRDefault="00A34A7B">
      <w:pPr>
        <w:ind w:left="709"/>
        <w:jc w:val="both"/>
        <w:rPr>
          <w:sz w:val="22"/>
          <w:szCs w:val="22"/>
        </w:rPr>
      </w:pPr>
    </w:p>
    <w:sectPr w:rsidR="00A34A7B">
      <w:headerReference w:type="default" r:id="rId9"/>
      <w:footerReference w:type="default" r:id="rId10"/>
      <w:pgSz w:w="12240" w:h="15840"/>
      <w:pgMar w:top="1440" w:right="1440" w:bottom="1440" w:left="1440" w:header="851" w:footer="61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837" w:rsidRDefault="00F35837">
      <w:pPr>
        <w:spacing w:before="0" w:after="0"/>
      </w:pPr>
      <w:r>
        <w:separator/>
      </w:r>
    </w:p>
  </w:endnote>
  <w:endnote w:type="continuationSeparator" w:id="0">
    <w:p w:rsidR="00F35837" w:rsidRDefault="00F358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7B" w:rsidRDefault="00925543">
    <w:pPr>
      <w:pBdr>
        <w:top w:val="nil"/>
        <w:left w:val="nil"/>
        <w:bottom w:val="nil"/>
        <w:right w:val="nil"/>
        <w:between w:val="nil"/>
      </w:pBdr>
      <w:tabs>
        <w:tab w:val="center" w:pos="4536"/>
        <w:tab w:val="right" w:pos="9072"/>
        <w:tab w:val="right" w:pos="9356"/>
      </w:tabs>
      <w:spacing w:before="0" w:after="0"/>
      <w:rPr>
        <w:color w:val="000000"/>
        <w:sz w:val="18"/>
        <w:szCs w:val="18"/>
      </w:rPr>
    </w:pPr>
    <w:r>
      <w:rPr>
        <w:b/>
        <w:color w:val="000000"/>
        <w:sz w:val="18"/>
        <w:szCs w:val="18"/>
      </w:rPr>
      <w:t>July 2019</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9925B5">
      <w:rPr>
        <w:noProof/>
        <w:color w:val="000000"/>
        <w:sz w:val="18"/>
        <w:szCs w:val="18"/>
      </w:rPr>
      <w:t>5</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9925B5">
      <w:rPr>
        <w:noProof/>
        <w:color w:val="000000"/>
        <w:sz w:val="18"/>
        <w:szCs w:val="18"/>
      </w:rPr>
      <w:t>5</w:t>
    </w:r>
    <w:r>
      <w:rPr>
        <w:color w:val="000000"/>
        <w:sz w:val="18"/>
        <w:szCs w:val="18"/>
      </w:rPr>
      <w:fldChar w:fldCharType="end"/>
    </w:r>
  </w:p>
  <w:p w:rsidR="00A34A7B" w:rsidRDefault="00925543">
    <w:pPr>
      <w:pBdr>
        <w:top w:val="nil"/>
        <w:left w:val="nil"/>
        <w:bottom w:val="nil"/>
        <w:right w:val="nil"/>
        <w:between w:val="nil"/>
      </w:pBdr>
      <w:tabs>
        <w:tab w:val="center" w:pos="4536"/>
        <w:tab w:val="right" w:pos="9072"/>
        <w:tab w:val="right" w:pos="9356"/>
      </w:tabs>
      <w:spacing w:before="0" w:after="0"/>
      <w:rPr>
        <w:color w:val="000000"/>
        <w:sz w:val="18"/>
        <w:szCs w:val="18"/>
      </w:rPr>
    </w:pPr>
    <w:r>
      <w:rPr>
        <w:color w:val="000000"/>
        <w:sz w:val="18"/>
        <w:szCs w:val="18"/>
      </w:rPr>
      <w:t>ds2_contractnotice_simpl_en.doc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837" w:rsidRDefault="00F35837">
      <w:pPr>
        <w:spacing w:before="0" w:after="0"/>
      </w:pPr>
      <w:r>
        <w:separator/>
      </w:r>
    </w:p>
  </w:footnote>
  <w:footnote w:type="continuationSeparator" w:id="0">
    <w:p w:rsidR="00F35837" w:rsidRDefault="00F35837">
      <w:pPr>
        <w:spacing w:before="0" w:after="0"/>
      </w:pPr>
      <w:r>
        <w:continuationSeparator/>
      </w:r>
    </w:p>
  </w:footnote>
  <w:footnote w:id="1">
    <w:p w:rsidR="00A34A7B" w:rsidRDefault="00925543">
      <w:pPr>
        <w:pBdr>
          <w:top w:val="nil"/>
          <w:left w:val="nil"/>
          <w:bottom w:val="nil"/>
          <w:right w:val="nil"/>
          <w:between w:val="nil"/>
        </w:pBdr>
        <w:spacing w:before="0" w:after="0"/>
        <w:rPr>
          <w:color w:val="000000"/>
          <w:sz w:val="20"/>
          <w:szCs w:val="20"/>
        </w:rPr>
      </w:pPr>
      <w:r>
        <w:rPr>
          <w:vertAlign w:val="superscript"/>
        </w:rPr>
        <w:footnoteRef/>
      </w:r>
      <w:r>
        <w:rPr>
          <w:color w:val="000000"/>
          <w:sz w:val="20"/>
          <w:szCs w:val="20"/>
        </w:rPr>
        <w:t xml:space="preserve"> Please state any specificity that might have an impact on rules on participation (such as geographic or thematic or long/short term).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7B" w:rsidRDefault="00F35837">
    <w:pPr>
      <w:pBdr>
        <w:top w:val="nil"/>
        <w:left w:val="nil"/>
        <w:bottom w:val="nil"/>
        <w:right w:val="nil"/>
        <w:between w:val="nil"/>
      </w:pBdr>
      <w:tabs>
        <w:tab w:val="center" w:pos="4536"/>
        <w:tab w:val="right" w:pos="9072"/>
      </w:tabs>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5" o:spid="_x0000_s2050" type="#_x0000_t75" alt="" style="position:absolute;margin-left:377.6pt;margin-top:-23.85pt;width:98.3pt;height:98.3pt;z-index:251657216;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
          <w10:wrap type="square" anchorx="margin"/>
        </v:shape>
      </w:pict>
    </w:r>
    <w:r>
      <w:pict>
        <v:shape id="Picture 7" o:spid="_x0000_s2049" type="#_x0000_t75" alt="Interreg BG TR Logo 3 lines" style="position:absolute;margin-left:-3.85pt;margin-top:-20.75pt;width:243.05pt;height:78.75pt;z-index:251658240;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 insetpen="t">
          <v:imagedata r:id="rId2" o:title="Interreg BG TR Logo 3 lines"/>
          <w10:wrap anchorx="margin"/>
        </v:shape>
      </w:pict>
    </w:r>
  </w:p>
  <w:p w:rsidR="00A34A7B" w:rsidRDefault="00A34A7B">
    <w:pPr>
      <w:pBdr>
        <w:top w:val="nil"/>
        <w:left w:val="nil"/>
        <w:bottom w:val="nil"/>
        <w:right w:val="nil"/>
        <w:between w:val="nil"/>
      </w:pBdr>
      <w:tabs>
        <w:tab w:val="center" w:pos="4536"/>
        <w:tab w:val="right" w:pos="9072"/>
      </w:tabs>
      <w:rPr>
        <w:color w:val="000000"/>
      </w:rPr>
    </w:pPr>
  </w:p>
  <w:p w:rsidR="00A34A7B" w:rsidRDefault="00A34A7B">
    <w:pPr>
      <w:pBdr>
        <w:top w:val="nil"/>
        <w:left w:val="nil"/>
        <w:bottom w:val="nil"/>
        <w:right w:val="nil"/>
        <w:between w:val="nil"/>
      </w:pBdr>
      <w:tabs>
        <w:tab w:val="center" w:pos="4536"/>
        <w:tab w:val="right" w:pos="9072"/>
      </w:tabs>
      <w:rPr>
        <w:color w:val="000000"/>
      </w:rPr>
    </w:pPr>
  </w:p>
  <w:p w:rsidR="00A34A7B" w:rsidRDefault="00925543">
    <w:pPr>
      <w:pBdr>
        <w:top w:val="nil"/>
        <w:left w:val="nil"/>
        <w:bottom w:val="nil"/>
        <w:right w:val="nil"/>
        <w:between w:val="nil"/>
      </w:pBdr>
      <w:tabs>
        <w:tab w:val="center" w:pos="4536"/>
        <w:tab w:val="right" w:pos="9072"/>
      </w:tabs>
      <w:jc w:val="center"/>
      <w:rPr>
        <w:b/>
        <w:color w:val="002060"/>
      </w:rPr>
    </w:pPr>
    <w:r>
      <w:rPr>
        <w:b/>
        <w:color w:val="002060"/>
      </w:rPr>
      <w:t>Promote and Affect Tourism through History (PATH)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72EDC"/>
    <w:multiLevelType w:val="multilevel"/>
    <w:tmpl w:val="AFCE0B32"/>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1" w15:restartNumberingAfterBreak="0">
    <w:nsid w:val="5284688D"/>
    <w:multiLevelType w:val="multilevel"/>
    <w:tmpl w:val="4B2E8BFE"/>
    <w:lvl w:ilvl="0">
      <w:start w:val="1"/>
      <w:numFmt w:val="decimal"/>
      <w:lvlText w:val="%1."/>
      <w:lvlJc w:val="left"/>
      <w:pPr>
        <w:tabs>
          <w:tab w:val="num" w:pos="567"/>
        </w:tabs>
        <w:ind w:left="567" w:hanging="567"/>
      </w:pPr>
      <w:rPr>
        <w:rFonts w:ascii="Times New Roman" w:hAnsi="Times New Roman" w:hint="default"/>
        <w:caps w:val="0"/>
        <w:strike w:val="0"/>
        <w:dstrike w:val="0"/>
        <w:shadow w:val="0"/>
        <w:emboss w:val="0"/>
        <w:imprint w:val="0"/>
        <w:vanish w:val="0"/>
        <w:color w:val="000000"/>
        <w:u w:val="none"/>
        <w:vertAlign w:val="baseline"/>
      </w:rPr>
    </w:lvl>
    <w:lvl w:ilvl="1">
      <w:start w:val="1"/>
      <w:numFmt w:val="decimal"/>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786A5974"/>
    <w:multiLevelType w:val="multilevel"/>
    <w:tmpl w:val="EA9E593A"/>
    <w:lvl w:ilvl="0">
      <w:start w:val="1"/>
      <w:numFmt w:val="decimal"/>
      <w:lvlText w:val="%1."/>
      <w:lvlJc w:val="left"/>
      <w:pPr>
        <w:ind w:left="284" w:firstLine="0"/>
      </w:pPr>
      <w:rPr>
        <w:rFonts w:ascii="Times New Roman" w:eastAsia="Times New Roman" w:hAnsi="Times New Roman" w:cs="Times New Roman"/>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34A7B"/>
    <w:rsid w:val="00064D2B"/>
    <w:rsid w:val="00216DB2"/>
    <w:rsid w:val="003A33D6"/>
    <w:rsid w:val="00925543"/>
    <w:rsid w:val="009925B5"/>
    <w:rsid w:val="00A34A7B"/>
    <w:rsid w:val="00AE193A"/>
    <w:rsid w:val="00CD1CE5"/>
    <w:rsid w:val="00F35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00E641"/>
  <w15:docId w15:val="{CF88CEDE-1F68-41C9-9BD4-BDECA926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tr-TR" w:bidi="ar-SA"/>
      </w:rPr>
    </w:rPrDefault>
    <w:pPrDefault>
      <w:pPr>
        <w:widowControl w:val="0"/>
        <w:spacing w:before="100" w:after="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394"/>
    <w:rPr>
      <w:snapToGrid w:val="0"/>
      <w:lang w:val="fr-FR" w:eastAsia="en-US"/>
    </w:rPr>
  </w:style>
  <w:style w:type="paragraph" w:styleId="Balk1">
    <w:name w:val="heading 1"/>
    <w:basedOn w:val="Normal"/>
    <w:next w:val="Normal"/>
    <w:link w:val="Balk1Char"/>
    <w:autoRedefine/>
    <w:qFormat/>
    <w:rsid w:val="002B0469"/>
    <w:pPr>
      <w:keepNext/>
      <w:widowControl/>
      <w:numPr>
        <w:numId w:val="2"/>
      </w:numPr>
      <w:spacing w:before="480" w:after="240"/>
      <w:outlineLvl w:val="0"/>
    </w:pPr>
    <w:rPr>
      <w:b/>
      <w:bCs/>
      <w:caps/>
      <w:sz w:val="30"/>
      <w:szCs w:val="22"/>
      <w:lang w:val="en-GB"/>
    </w:rPr>
  </w:style>
  <w:style w:type="paragraph" w:styleId="Balk2">
    <w:name w:val="heading 2"/>
    <w:basedOn w:val="Normal"/>
    <w:next w:val="Normal"/>
    <w:link w:val="Balk2Char"/>
    <w:autoRedefine/>
    <w:qFormat/>
    <w:rsid w:val="002B0469"/>
    <w:pPr>
      <w:widowControl/>
      <w:numPr>
        <w:ilvl w:val="1"/>
        <w:numId w:val="2"/>
      </w:numPr>
      <w:spacing w:before="240" w:after="120"/>
      <w:jc w:val="both"/>
      <w:outlineLvl w:val="1"/>
    </w:pPr>
    <w:rPr>
      <w:rFonts w:ascii="Times New Roman Bold" w:hAnsi="Times New Roman Bold"/>
      <w:b/>
      <w:sz w:val="22"/>
      <w:szCs w:val="22"/>
      <w:lang w:val="x-none"/>
    </w:rPr>
  </w:style>
  <w:style w:type="paragraph" w:styleId="Balk3">
    <w:name w:val="heading 3"/>
    <w:basedOn w:val="Normal"/>
    <w:next w:val="Normal"/>
    <w:link w:val="Balk3Char"/>
    <w:qFormat/>
    <w:rsid w:val="002B0469"/>
    <w:pPr>
      <w:widowControl/>
      <w:numPr>
        <w:ilvl w:val="2"/>
        <w:numId w:val="2"/>
      </w:numPr>
      <w:spacing w:before="240" w:after="120"/>
      <w:jc w:val="both"/>
      <w:outlineLvl w:val="2"/>
    </w:pPr>
    <w:rPr>
      <w:snapToGrid/>
      <w:sz w:val="22"/>
      <w:szCs w:val="22"/>
      <w:lang w:val="x-none"/>
    </w:rPr>
  </w:style>
  <w:style w:type="paragraph" w:styleId="Balk4">
    <w:name w:val="heading 4"/>
    <w:basedOn w:val="Normal"/>
    <w:next w:val="Normal"/>
    <w:link w:val="Balk4Char"/>
    <w:autoRedefine/>
    <w:qFormat/>
    <w:rsid w:val="002B0469"/>
    <w:pPr>
      <w:widowControl/>
      <w:numPr>
        <w:ilvl w:val="3"/>
        <w:numId w:val="2"/>
      </w:numPr>
      <w:spacing w:before="120" w:after="120"/>
      <w:jc w:val="both"/>
      <w:outlineLvl w:val="3"/>
    </w:pPr>
    <w:rPr>
      <w:sz w:val="22"/>
      <w:szCs w:val="22"/>
      <w:lang w:val="en-GB"/>
    </w:rPr>
  </w:style>
  <w:style w:type="paragraph" w:styleId="Balk5">
    <w:name w:val="heading 5"/>
    <w:basedOn w:val="Normal"/>
    <w:next w:val="Normal"/>
    <w:link w:val="Balk5Char"/>
    <w:qFormat/>
    <w:rsid w:val="002B0469"/>
    <w:pPr>
      <w:widowControl/>
      <w:numPr>
        <w:ilvl w:val="4"/>
        <w:numId w:val="2"/>
      </w:numPr>
      <w:spacing w:before="240" w:after="120"/>
      <w:jc w:val="both"/>
      <w:outlineLvl w:val="4"/>
    </w:pPr>
    <w:rPr>
      <w:sz w:val="22"/>
      <w:szCs w:val="22"/>
      <w:lang w:val="en-GB"/>
    </w:rPr>
  </w:style>
  <w:style w:type="paragraph" w:styleId="Balk6">
    <w:name w:val="heading 6"/>
    <w:basedOn w:val="Normal"/>
    <w:next w:val="Normal"/>
    <w:link w:val="Balk6Char"/>
    <w:qFormat/>
    <w:rsid w:val="002B0469"/>
    <w:pPr>
      <w:widowControl/>
      <w:numPr>
        <w:ilvl w:val="5"/>
        <w:numId w:val="2"/>
      </w:numPr>
      <w:spacing w:before="240" w:after="60"/>
      <w:outlineLvl w:val="5"/>
    </w:pPr>
    <w:rPr>
      <w:rFonts w:ascii="Calibri" w:hAnsi="Calibri"/>
      <w:b/>
      <w:bCs/>
      <w:sz w:val="22"/>
      <w:szCs w:val="22"/>
      <w:lang w:val="x-none"/>
    </w:rPr>
  </w:style>
  <w:style w:type="paragraph" w:styleId="Balk7">
    <w:name w:val="heading 7"/>
    <w:basedOn w:val="Normal"/>
    <w:next w:val="Normal"/>
    <w:link w:val="Balk7Char"/>
    <w:qFormat/>
    <w:rsid w:val="002B0469"/>
    <w:pPr>
      <w:keepNext/>
      <w:widowControl/>
      <w:numPr>
        <w:ilvl w:val="6"/>
        <w:numId w:val="2"/>
      </w:numPr>
      <w:spacing w:before="0" w:after="120"/>
      <w:jc w:val="center"/>
      <w:outlineLvl w:val="6"/>
    </w:pPr>
    <w:rPr>
      <w:rFonts w:ascii="Arial" w:hAnsi="Arial"/>
      <w:b/>
      <w:color w:val="008000"/>
      <w:sz w:val="32"/>
      <w:lang w:val="en-GB"/>
    </w:rPr>
  </w:style>
  <w:style w:type="paragraph" w:styleId="Balk8">
    <w:name w:val="heading 8"/>
    <w:basedOn w:val="Normal"/>
    <w:next w:val="Normal"/>
    <w:link w:val="Balk8Char"/>
    <w:qFormat/>
    <w:rsid w:val="002B0469"/>
    <w:pPr>
      <w:keepNext/>
      <w:widowControl/>
      <w:numPr>
        <w:ilvl w:val="7"/>
        <w:numId w:val="2"/>
      </w:numPr>
      <w:spacing w:before="0" w:after="120"/>
      <w:jc w:val="both"/>
      <w:outlineLvl w:val="7"/>
    </w:pPr>
    <w:rPr>
      <w:rFonts w:ascii="Arial" w:hAnsi="Arial"/>
      <w:b/>
      <w:sz w:val="22"/>
      <w:lang w:val="en-GB"/>
    </w:rPr>
  </w:style>
  <w:style w:type="paragraph" w:styleId="Balk9">
    <w:name w:val="heading 9"/>
    <w:basedOn w:val="Normal"/>
    <w:next w:val="Normal"/>
    <w:link w:val="Balk9Char"/>
    <w:qFormat/>
    <w:rsid w:val="002B0469"/>
    <w:pPr>
      <w:widowControl/>
      <w:numPr>
        <w:ilvl w:val="8"/>
        <w:numId w:val="2"/>
      </w:numPr>
      <w:spacing w:before="240" w:after="60"/>
      <w:outlineLvl w:val="8"/>
    </w:pPr>
    <w:rPr>
      <w:rFonts w:ascii="Cambria" w:hAnsi="Cambria"/>
      <w:sz w:val="22"/>
      <w:szCs w:val="22"/>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Vurgu">
    <w:name w:val="Emphasis"/>
    <w:qFormat/>
    <w:rPr>
      <w:i/>
    </w:rPr>
  </w:style>
  <w:style w:type="character" w:styleId="Kpr">
    <w:name w:val="Hyperlink"/>
    <w:rPr>
      <w:color w:val="0000FF"/>
      <w:u w:val="single"/>
    </w:rPr>
  </w:style>
  <w:style w:type="character" w:styleId="zlenenKpr">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FormunAlt">
    <w:name w:val="HTML Bottom of Form"/>
    <w:next w:val="Normal"/>
    <w:hidden/>
    <w:pPr>
      <w:pBdr>
        <w:top w:val="double" w:sz="2" w:space="0" w:color="000000"/>
      </w:pBdr>
      <w:jc w:val="center"/>
    </w:pPr>
    <w:rPr>
      <w:rFonts w:ascii="Arial" w:hAnsi="Arial"/>
      <w:snapToGrid w:val="0"/>
      <w:vanish/>
      <w:sz w:val="16"/>
      <w:lang w:val="en-US" w:eastAsia="en-US"/>
    </w:rPr>
  </w:style>
  <w:style w:type="paragraph" w:styleId="z-Formunst">
    <w:name w:val="HTML Top of Form"/>
    <w:next w:val="Normal"/>
    <w:hidden/>
    <w:pPr>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Gl">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elgeBalantlar">
    <w:name w:val="Document Map"/>
    <w:basedOn w:val="Normal"/>
    <w:semiHidden/>
    <w:pPr>
      <w:shd w:val="clear" w:color="auto" w:fill="000080"/>
    </w:pPr>
  </w:style>
  <w:style w:type="paragraph" w:styleId="stBilgi">
    <w:name w:val="header"/>
    <w:basedOn w:val="Normal"/>
    <w:rsid w:val="007C4AA9"/>
    <w:pPr>
      <w:tabs>
        <w:tab w:val="center" w:pos="4536"/>
        <w:tab w:val="right" w:pos="9072"/>
      </w:tabs>
    </w:pPr>
  </w:style>
  <w:style w:type="paragraph" w:styleId="AltBilgi">
    <w:name w:val="footer"/>
    <w:basedOn w:val="Normal"/>
    <w:rsid w:val="007C4AA9"/>
    <w:pPr>
      <w:tabs>
        <w:tab w:val="center" w:pos="4536"/>
        <w:tab w:val="right" w:pos="9072"/>
      </w:tabs>
    </w:pPr>
  </w:style>
  <w:style w:type="paragraph" w:customStyle="1" w:styleId="PRAGHeading2">
    <w:name w:val="PRAG Heading 2"/>
    <w:basedOn w:val="Normal"/>
    <w:rsid w:val="00805EFA"/>
    <w:pPr>
      <w:tabs>
        <w:tab w:val="num" w:pos="720"/>
      </w:tabs>
      <w:ind w:left="720" w:hanging="720"/>
    </w:pPr>
  </w:style>
  <w:style w:type="character" w:styleId="SayfaNumaras">
    <w:name w:val="page number"/>
    <w:basedOn w:val="VarsaylanParagrafYazTipi"/>
    <w:rsid w:val="00805EFA"/>
  </w:style>
  <w:style w:type="character" w:styleId="AklamaBavurusu">
    <w:name w:val="annotation reference"/>
    <w:uiPriority w:val="99"/>
    <w:rsid w:val="00BD3B9D"/>
    <w:rPr>
      <w:sz w:val="16"/>
      <w:szCs w:val="16"/>
    </w:rPr>
  </w:style>
  <w:style w:type="paragraph" w:styleId="AklamaMetni">
    <w:name w:val="annotation text"/>
    <w:basedOn w:val="Normal"/>
    <w:semiHidden/>
    <w:rsid w:val="00BD3B9D"/>
    <w:rPr>
      <w:sz w:val="20"/>
    </w:rPr>
  </w:style>
  <w:style w:type="paragraph" w:styleId="AklamaKonusu">
    <w:name w:val="annotation subject"/>
    <w:basedOn w:val="AklamaMetni"/>
    <w:next w:val="AklamaMetni"/>
    <w:semiHidden/>
    <w:rsid w:val="00BD3B9D"/>
    <w:rPr>
      <w:b/>
      <w:bCs/>
    </w:rPr>
  </w:style>
  <w:style w:type="paragraph" w:styleId="BalonMetni">
    <w:name w:val="Balloon Text"/>
    <w:basedOn w:val="Normal"/>
    <w:semiHidden/>
    <w:rsid w:val="00BD3B9D"/>
    <w:rPr>
      <w:rFonts w:ascii="Tahoma" w:hAnsi="Tahoma" w:cs="Tahoma"/>
      <w:sz w:val="16"/>
      <w:szCs w:val="16"/>
    </w:rPr>
  </w:style>
  <w:style w:type="paragraph" w:styleId="DipnotMetni">
    <w:name w:val="footnote text"/>
    <w:basedOn w:val="Normal"/>
    <w:link w:val="DipnotMetniChar"/>
    <w:autoRedefine/>
    <w:rsid w:val="00921394"/>
    <w:pPr>
      <w:spacing w:before="0" w:after="0"/>
    </w:pPr>
    <w:rPr>
      <w:sz w:val="20"/>
    </w:rPr>
  </w:style>
  <w:style w:type="character" w:customStyle="1" w:styleId="DipnotMetniChar">
    <w:name w:val="Dipnot Metni Char"/>
    <w:link w:val="DipnotMetni"/>
    <w:rsid w:val="00921394"/>
    <w:rPr>
      <w:snapToGrid w:val="0"/>
      <w:lang w:val="fr-FR" w:eastAsia="en-US"/>
    </w:rPr>
  </w:style>
  <w:style w:type="character" w:styleId="DipnotBavurusu">
    <w:name w:val="footnote reference"/>
    <w:rsid w:val="00A95184"/>
    <w:rPr>
      <w:vertAlign w:val="superscript"/>
    </w:rPr>
  </w:style>
  <w:style w:type="paragraph" w:customStyle="1" w:styleId="FootnoteText1">
    <w:name w:val="Footnote Text1"/>
    <w:rsid w:val="00B24E1F"/>
    <w:pPr>
      <w:jc w:val="both"/>
    </w:pPr>
    <w:rPr>
      <w:rFonts w:ascii="Calibri" w:eastAsia="Calibri" w:hAnsi="Calibri" w:cs="Calibri"/>
      <w:color w:val="000000"/>
      <w:u w:color="000000"/>
      <w:lang w:eastAsia="fr-FR"/>
    </w:rPr>
  </w:style>
  <w:style w:type="character" w:customStyle="1" w:styleId="Balk1Char">
    <w:name w:val="Başlık 1 Char"/>
    <w:link w:val="Balk1"/>
    <w:rsid w:val="002B0469"/>
    <w:rPr>
      <w:b/>
      <w:bCs/>
      <w:caps/>
      <w:snapToGrid w:val="0"/>
      <w:sz w:val="30"/>
      <w:szCs w:val="22"/>
      <w:lang w:eastAsia="en-US"/>
    </w:rPr>
  </w:style>
  <w:style w:type="character" w:customStyle="1" w:styleId="Balk2Char">
    <w:name w:val="Başlık 2 Char"/>
    <w:link w:val="Balk2"/>
    <w:rsid w:val="002B0469"/>
    <w:rPr>
      <w:rFonts w:ascii="Times New Roman Bold" w:hAnsi="Times New Roman Bold"/>
      <w:b/>
      <w:snapToGrid w:val="0"/>
      <w:sz w:val="22"/>
      <w:szCs w:val="22"/>
      <w:lang w:val="x-none" w:eastAsia="en-US"/>
    </w:rPr>
  </w:style>
  <w:style w:type="character" w:customStyle="1" w:styleId="Balk3Char">
    <w:name w:val="Başlık 3 Char"/>
    <w:link w:val="Balk3"/>
    <w:rsid w:val="002B0469"/>
    <w:rPr>
      <w:sz w:val="22"/>
      <w:szCs w:val="22"/>
      <w:lang w:val="x-none" w:eastAsia="en-US"/>
    </w:rPr>
  </w:style>
  <w:style w:type="character" w:customStyle="1" w:styleId="Balk4Char">
    <w:name w:val="Başlık 4 Char"/>
    <w:link w:val="Balk4"/>
    <w:rsid w:val="002B0469"/>
    <w:rPr>
      <w:snapToGrid w:val="0"/>
      <w:sz w:val="22"/>
      <w:szCs w:val="22"/>
      <w:lang w:eastAsia="en-US"/>
    </w:rPr>
  </w:style>
  <w:style w:type="character" w:customStyle="1" w:styleId="Balk5Char">
    <w:name w:val="Başlık 5 Char"/>
    <w:link w:val="Balk5"/>
    <w:rsid w:val="002B0469"/>
    <w:rPr>
      <w:snapToGrid w:val="0"/>
      <w:sz w:val="22"/>
      <w:szCs w:val="22"/>
      <w:lang w:eastAsia="en-US"/>
    </w:rPr>
  </w:style>
  <w:style w:type="character" w:customStyle="1" w:styleId="Balk6Char">
    <w:name w:val="Başlık 6 Char"/>
    <w:link w:val="Balk6"/>
    <w:rsid w:val="002B0469"/>
    <w:rPr>
      <w:rFonts w:ascii="Calibri" w:hAnsi="Calibri"/>
      <w:b/>
      <w:bCs/>
      <w:snapToGrid w:val="0"/>
      <w:sz w:val="22"/>
      <w:szCs w:val="22"/>
      <w:lang w:val="x-none" w:eastAsia="en-US"/>
    </w:rPr>
  </w:style>
  <w:style w:type="character" w:customStyle="1" w:styleId="Balk7Char">
    <w:name w:val="Başlık 7 Char"/>
    <w:link w:val="Balk7"/>
    <w:rsid w:val="002B0469"/>
    <w:rPr>
      <w:rFonts w:ascii="Arial" w:hAnsi="Arial"/>
      <w:b/>
      <w:snapToGrid w:val="0"/>
      <w:color w:val="008000"/>
      <w:sz w:val="32"/>
      <w:lang w:eastAsia="en-US"/>
    </w:rPr>
  </w:style>
  <w:style w:type="character" w:customStyle="1" w:styleId="Balk8Char">
    <w:name w:val="Başlık 8 Char"/>
    <w:link w:val="Balk8"/>
    <w:rsid w:val="002B0469"/>
    <w:rPr>
      <w:rFonts w:ascii="Arial" w:hAnsi="Arial"/>
      <w:b/>
      <w:snapToGrid w:val="0"/>
      <w:sz w:val="22"/>
      <w:lang w:eastAsia="en-US"/>
    </w:rPr>
  </w:style>
  <w:style w:type="character" w:customStyle="1" w:styleId="Balk9Char">
    <w:name w:val="Başlık 9 Char"/>
    <w:link w:val="Balk9"/>
    <w:rsid w:val="002B0469"/>
    <w:rPr>
      <w:rFonts w:ascii="Cambria" w:hAnsi="Cambria"/>
      <w:snapToGrid w:val="0"/>
      <w:sz w:val="22"/>
      <w:szCs w:val="22"/>
      <w:lang w:val="x-none" w:eastAsia="en-US"/>
    </w:rPr>
  </w:style>
  <w:style w:type="paragraph" w:styleId="AralkYok">
    <w:name w:val="No Spacing"/>
    <w:uiPriority w:val="1"/>
    <w:qFormat/>
    <w:rsid w:val="005D7D0F"/>
    <w:rPr>
      <w:snapToGrid w:val="0"/>
      <w:lang w:val="fr-FR"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c.europa.eu/budget/graphs/inforeur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9JR17Dj6WEwih6bJbRN8JskcQQ==">AMUW2mX4sO/zsmj+KXoPhN6eEZ4ylwJN9IgCBcnbl+M/H1STnf71ge17BLshZjYInx9361hIPUslo5mehaJaFDzhWBN0G60HgOgVFgAhj6dS9BgUEZcLxSD9BMlgu6Tj9FSZm0jMMYJV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9573</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sabatmu</dc:creator>
  <cp:lastModifiedBy>şeyda savaşan</cp:lastModifiedBy>
  <cp:revision>5</cp:revision>
  <dcterms:created xsi:type="dcterms:W3CDTF">2020-06-30T13:38:00Z</dcterms:created>
  <dcterms:modified xsi:type="dcterms:W3CDTF">2020-07-01T07:46:00Z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ies>
</file>