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545D9A94" w14:textId="77777777" w:rsidR="0068234B" w:rsidRPr="000F1C89" w:rsidRDefault="0068234B">
      <w:pPr>
        <w:rPr>
          <w:szCs w:val="22"/>
        </w:rPr>
      </w:pPr>
      <w:r w:rsidRPr="000F1C89">
        <w:rPr>
          <w:szCs w:val="22"/>
        </w:rPr>
        <w:br w:type="page"/>
      </w:r>
    </w:p>
    <w:p w14:paraId="260005D2" w14:textId="77777777" w:rsidR="0068234B" w:rsidRPr="000A7BE8" w:rsidRDefault="00AA7E1D">
      <w:pPr>
        <w:jc w:val="center"/>
        <w:rPr>
          <w:sz w:val="28"/>
          <w:szCs w:val="28"/>
        </w:rPr>
      </w:pPr>
      <w:r w:rsidRPr="000A7BE8">
        <w:rPr>
          <w:b/>
          <w:sz w:val="28"/>
          <w:szCs w:val="28"/>
        </w:rPr>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14:paraId="69EC0BE6" w14:textId="64CBACE5" w:rsidR="0068234B" w:rsidRPr="000F1C89" w:rsidRDefault="0068234B" w:rsidP="004603E9">
      <w:pPr>
        <w:pStyle w:val="Altyaz"/>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3B5B56">
        <w:rPr>
          <w:rFonts w:ascii="Times New Roman" w:hAnsi="Times New Roman"/>
          <w:sz w:val="22"/>
          <w:szCs w:val="22"/>
          <w:lang w:val="en-GB"/>
        </w:rPr>
        <w:t>CB005.2.21.114-PP2-Works 1</w:t>
      </w:r>
    </w:p>
    <w:p w14:paraId="1F9162C1" w14:textId="77777777" w:rsidR="0068234B" w:rsidRPr="000F1C89" w:rsidRDefault="0068234B" w:rsidP="004603E9">
      <w:pPr>
        <w:pStyle w:val="Altyaz"/>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77777777" w:rsidR="0068234B" w:rsidRPr="000F1C89" w:rsidRDefault="0068234B">
      <w:pPr>
        <w:pStyle w:val="Altyaz"/>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11" w:history="1">
        <w:r w:rsidR="00F05853" w:rsidRPr="000F1C89">
          <w:rPr>
            <w:rStyle w:val="Kpr"/>
            <w:rFonts w:ascii="Times New Roman" w:hAnsi="Times New Roman"/>
            <w:sz w:val="22"/>
            <w:szCs w:val="22"/>
            <w:lang w:val="en-GB"/>
          </w:rPr>
          <w:t>http://ec.europa.eu/europeaid/prag/document.do</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61719696" w14:textId="74B4C752" w:rsidR="0068234B" w:rsidRPr="000F1C89" w:rsidRDefault="0068234B" w:rsidP="00D2731E">
      <w:pPr>
        <w:jc w:val="left"/>
      </w:pPr>
      <w:r w:rsidRPr="000F1C89">
        <w:rPr>
          <w:b/>
        </w:rPr>
        <w:br w:type="page"/>
      </w:r>
    </w:p>
    <w:p w14:paraId="5DAAD806" w14:textId="77777777" w:rsidR="0068234B" w:rsidRPr="000F1C89" w:rsidRDefault="0068234B">
      <w:pPr>
        <w:jc w:val="center"/>
        <w:rPr>
          <w:b/>
          <w:szCs w:val="22"/>
        </w:rPr>
      </w:pPr>
      <w:r w:rsidRPr="000F1C89">
        <w:rPr>
          <w:b/>
          <w:szCs w:val="22"/>
        </w:rPr>
        <w:t>CONTENTS</w:t>
      </w:r>
    </w:p>
    <w:p w14:paraId="7E2E4EB8" w14:textId="77777777" w:rsidR="0068234B" w:rsidRPr="000F1C89" w:rsidRDefault="0068234B">
      <w:pPr>
        <w:rPr>
          <w:szCs w:val="22"/>
        </w:rPr>
      </w:pPr>
    </w:p>
    <w:p w14:paraId="518EE24D" w14:textId="77777777" w:rsidR="00224A76" w:rsidRPr="00224A76" w:rsidRDefault="00224A76">
      <w:pPr>
        <w:pStyle w:val="T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t>4</w:t>
      </w:r>
      <w:r>
        <w:fldChar w:fldCharType="end"/>
      </w:r>
    </w:p>
    <w:p w14:paraId="718C8EBE" w14:textId="77777777" w:rsidR="00224A76" w:rsidRPr="00224A76" w:rsidRDefault="00224A76">
      <w:pPr>
        <w:pStyle w:val="T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t>4</w:t>
      </w:r>
      <w:r>
        <w:fldChar w:fldCharType="end"/>
      </w:r>
    </w:p>
    <w:p w14:paraId="384D0902" w14:textId="77777777" w:rsidR="00224A76" w:rsidRPr="00224A76" w:rsidRDefault="00224A76">
      <w:pPr>
        <w:pStyle w:val="T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t>4</w:t>
      </w:r>
      <w:r>
        <w:fldChar w:fldCharType="end"/>
      </w:r>
    </w:p>
    <w:p w14:paraId="7E5F6079" w14:textId="77777777" w:rsidR="00224A76" w:rsidRPr="00224A76" w:rsidRDefault="00224A76">
      <w:pPr>
        <w:pStyle w:val="T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t>4</w:t>
      </w:r>
      <w:r>
        <w:fldChar w:fldCharType="end"/>
      </w:r>
    </w:p>
    <w:p w14:paraId="2C04FE7D" w14:textId="77777777" w:rsidR="00224A76" w:rsidRPr="00224A76" w:rsidRDefault="00224A76">
      <w:pPr>
        <w:pStyle w:val="T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t>6</w:t>
      </w:r>
      <w:r>
        <w:fldChar w:fldCharType="end"/>
      </w:r>
    </w:p>
    <w:p w14:paraId="56A3D70D" w14:textId="77777777" w:rsidR="00224A76" w:rsidRPr="00224A76" w:rsidRDefault="00224A76">
      <w:pPr>
        <w:pStyle w:val="T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t>6</w:t>
      </w:r>
      <w:r>
        <w:fldChar w:fldCharType="end"/>
      </w:r>
    </w:p>
    <w:p w14:paraId="667DFF29" w14:textId="77777777" w:rsidR="00224A76" w:rsidRPr="00224A76" w:rsidRDefault="00224A76">
      <w:pPr>
        <w:pStyle w:val="T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t>6</w:t>
      </w:r>
      <w:r>
        <w:fldChar w:fldCharType="end"/>
      </w:r>
    </w:p>
    <w:p w14:paraId="0AB2C840" w14:textId="77777777" w:rsidR="00224A76" w:rsidRPr="00224A76" w:rsidRDefault="00224A76">
      <w:pPr>
        <w:pStyle w:val="T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t>6</w:t>
      </w:r>
      <w:r>
        <w:fldChar w:fldCharType="end"/>
      </w:r>
    </w:p>
    <w:p w14:paraId="07B8F880" w14:textId="77777777" w:rsidR="00224A76" w:rsidRPr="00224A76" w:rsidRDefault="00224A76">
      <w:pPr>
        <w:pStyle w:val="T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t>7</w:t>
      </w:r>
      <w:r>
        <w:fldChar w:fldCharType="end"/>
      </w:r>
    </w:p>
    <w:p w14:paraId="5E21F148" w14:textId="77777777" w:rsidR="00224A76" w:rsidRPr="00224A76" w:rsidRDefault="00224A76">
      <w:pPr>
        <w:pStyle w:val="T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t>7</w:t>
      </w:r>
      <w:r>
        <w:fldChar w:fldCharType="end"/>
      </w:r>
    </w:p>
    <w:p w14:paraId="57324C7E" w14:textId="77777777" w:rsidR="00224A76" w:rsidRPr="00224A76" w:rsidRDefault="00224A76">
      <w:pPr>
        <w:pStyle w:val="T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t>7</w:t>
      </w:r>
      <w:r>
        <w:fldChar w:fldCharType="end"/>
      </w:r>
    </w:p>
    <w:p w14:paraId="3FAD68D9" w14:textId="77777777" w:rsidR="00224A76" w:rsidRPr="00224A76" w:rsidRDefault="00224A76">
      <w:pPr>
        <w:pStyle w:val="T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t>7</w:t>
      </w:r>
      <w:r>
        <w:fldChar w:fldCharType="end"/>
      </w:r>
    </w:p>
    <w:p w14:paraId="7A9C15F5" w14:textId="77777777" w:rsidR="00224A76" w:rsidRPr="00224A76" w:rsidRDefault="00224A76">
      <w:pPr>
        <w:pStyle w:val="T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t>8</w:t>
      </w:r>
      <w:r>
        <w:fldChar w:fldCharType="end"/>
      </w:r>
    </w:p>
    <w:p w14:paraId="510362FF" w14:textId="77777777" w:rsidR="00224A76" w:rsidRPr="00224A76" w:rsidRDefault="00224A76">
      <w:pPr>
        <w:pStyle w:val="T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t>8</w:t>
      </w:r>
      <w:r>
        <w:fldChar w:fldCharType="end"/>
      </w:r>
    </w:p>
    <w:p w14:paraId="09F9A862" w14:textId="77777777" w:rsidR="00224A76" w:rsidRPr="00224A76" w:rsidRDefault="00224A76">
      <w:pPr>
        <w:pStyle w:val="T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t>14</w:t>
      </w:r>
      <w:r>
        <w:fldChar w:fldCharType="end"/>
      </w:r>
    </w:p>
    <w:p w14:paraId="49BD5F9D" w14:textId="77777777" w:rsidR="00224A76" w:rsidRPr="00224A76" w:rsidRDefault="00224A76">
      <w:pPr>
        <w:pStyle w:val="T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t>14</w:t>
      </w:r>
      <w:r>
        <w:fldChar w:fldCharType="end"/>
      </w:r>
    </w:p>
    <w:p w14:paraId="0109E3BA" w14:textId="77777777" w:rsidR="00224A76" w:rsidRPr="00224A76" w:rsidRDefault="00224A76">
      <w:pPr>
        <w:pStyle w:val="T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t>15</w:t>
      </w:r>
      <w:r>
        <w:fldChar w:fldCharType="end"/>
      </w:r>
    </w:p>
    <w:p w14:paraId="73721A4D" w14:textId="77777777" w:rsidR="00224A76" w:rsidRPr="00224A76" w:rsidRDefault="00224A76">
      <w:pPr>
        <w:pStyle w:val="T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t>15</w:t>
      </w:r>
      <w:r>
        <w:fldChar w:fldCharType="end"/>
      </w:r>
    </w:p>
    <w:p w14:paraId="7B6803F7" w14:textId="77777777" w:rsidR="00224A76" w:rsidRPr="00224A76" w:rsidRDefault="00224A76">
      <w:pPr>
        <w:pStyle w:val="T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t>16</w:t>
      </w:r>
      <w:r>
        <w:fldChar w:fldCharType="end"/>
      </w:r>
    </w:p>
    <w:p w14:paraId="606D1A2F" w14:textId="77777777" w:rsidR="00224A76" w:rsidRPr="00224A76" w:rsidRDefault="00224A76">
      <w:pPr>
        <w:pStyle w:val="T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t>16</w:t>
      </w:r>
      <w:r>
        <w:fldChar w:fldCharType="end"/>
      </w:r>
    </w:p>
    <w:p w14:paraId="549255DD" w14:textId="77777777" w:rsidR="00224A76" w:rsidRPr="00224A76" w:rsidRDefault="00224A76">
      <w:pPr>
        <w:pStyle w:val="T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t>17</w:t>
      </w:r>
      <w:r>
        <w:fldChar w:fldCharType="end"/>
      </w:r>
    </w:p>
    <w:p w14:paraId="0CF4E27E" w14:textId="77777777" w:rsidR="00224A76" w:rsidRPr="00224A76" w:rsidRDefault="00224A76">
      <w:pPr>
        <w:pStyle w:val="T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t>17</w:t>
      </w:r>
      <w:r>
        <w:fldChar w:fldCharType="end"/>
      </w:r>
    </w:p>
    <w:p w14:paraId="29A1C222" w14:textId="77777777" w:rsidR="00224A76" w:rsidRPr="00224A76" w:rsidRDefault="00224A76">
      <w:pPr>
        <w:pStyle w:val="T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t>18</w:t>
      </w:r>
      <w:r>
        <w:fldChar w:fldCharType="end"/>
      </w:r>
    </w:p>
    <w:p w14:paraId="3DA15B55" w14:textId="77777777" w:rsidR="00224A76" w:rsidRPr="00224A76" w:rsidRDefault="00224A76">
      <w:pPr>
        <w:pStyle w:val="T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t>18</w:t>
      </w:r>
      <w:r>
        <w:fldChar w:fldCharType="end"/>
      </w:r>
    </w:p>
    <w:p w14:paraId="7239A291" w14:textId="77777777" w:rsidR="00224A76" w:rsidRPr="00224A76" w:rsidRDefault="00224A76">
      <w:pPr>
        <w:pStyle w:val="T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t>18</w:t>
      </w:r>
      <w:r>
        <w:fldChar w:fldCharType="end"/>
      </w:r>
    </w:p>
    <w:p w14:paraId="281E9AF3" w14:textId="77777777" w:rsidR="00224A76" w:rsidRPr="00224A76" w:rsidRDefault="00224A76">
      <w:pPr>
        <w:pStyle w:val="T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t>18</w:t>
      </w:r>
      <w:r>
        <w:fldChar w:fldCharType="end"/>
      </w:r>
    </w:p>
    <w:p w14:paraId="392B22EF" w14:textId="77777777" w:rsidR="00224A76" w:rsidRPr="00224A76" w:rsidRDefault="00224A76">
      <w:pPr>
        <w:pStyle w:val="T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t>19</w:t>
      </w:r>
      <w:r>
        <w:fldChar w:fldCharType="end"/>
      </w:r>
    </w:p>
    <w:p w14:paraId="46E80FAD" w14:textId="77777777" w:rsidR="00224A76" w:rsidRPr="00224A76" w:rsidRDefault="00224A76">
      <w:pPr>
        <w:pStyle w:val="T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t>20</w:t>
      </w:r>
      <w:r>
        <w:fldChar w:fldCharType="end"/>
      </w:r>
    </w:p>
    <w:p w14:paraId="4FAE4C6B" w14:textId="77777777" w:rsidR="00224A76" w:rsidRPr="00224A76" w:rsidRDefault="00224A76">
      <w:pPr>
        <w:pStyle w:val="T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t>20</w:t>
      </w:r>
      <w:r>
        <w:fldChar w:fldCharType="end"/>
      </w:r>
    </w:p>
    <w:p w14:paraId="6CB68647" w14:textId="77777777" w:rsidR="00224A76" w:rsidRPr="00224A76" w:rsidRDefault="00224A76">
      <w:pPr>
        <w:pStyle w:val="T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t>20</w:t>
      </w:r>
      <w:r>
        <w:fldChar w:fldCharType="end"/>
      </w:r>
    </w:p>
    <w:p w14:paraId="314A30BA" w14:textId="77777777" w:rsidR="00224A76" w:rsidRPr="00224A76" w:rsidRDefault="00224A76">
      <w:pPr>
        <w:pStyle w:val="T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t>21</w:t>
      </w:r>
      <w:r>
        <w:fldChar w:fldCharType="end"/>
      </w:r>
    </w:p>
    <w:p w14:paraId="063C2ECF" w14:textId="77777777" w:rsidR="00224A76" w:rsidRPr="00224A76" w:rsidRDefault="00224A76">
      <w:pPr>
        <w:pStyle w:val="T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t>21</w:t>
      </w:r>
      <w:r>
        <w:fldChar w:fldCharType="end"/>
      </w:r>
    </w:p>
    <w:p w14:paraId="4DDC6981" w14:textId="77777777" w:rsidR="00224A76" w:rsidRPr="00224A76" w:rsidRDefault="00224A76">
      <w:pPr>
        <w:pStyle w:val="T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t>22</w:t>
      </w:r>
      <w:r>
        <w:fldChar w:fldCharType="end"/>
      </w:r>
    </w:p>
    <w:p w14:paraId="1BC85D72" w14:textId="77777777" w:rsidR="00224A76" w:rsidRPr="00224A76" w:rsidRDefault="00224A76">
      <w:pPr>
        <w:pStyle w:val="T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t>23</w:t>
      </w:r>
      <w:r>
        <w:fldChar w:fldCharType="end"/>
      </w:r>
    </w:p>
    <w:p w14:paraId="70B5A13F" w14:textId="77777777" w:rsidR="0068234B" w:rsidRPr="000F1C89" w:rsidRDefault="00224A76">
      <w:pPr>
        <w:rPr>
          <w:szCs w:val="22"/>
        </w:rPr>
      </w:pPr>
      <w:r>
        <w:rPr>
          <w:sz w:val="24"/>
          <w:szCs w:val="22"/>
        </w:rPr>
        <w:fldChar w:fldCharType="end"/>
      </w:r>
    </w:p>
    <w:p w14:paraId="02F7EEFE" w14:textId="77777777" w:rsidR="009858A9" w:rsidRPr="000F1C89" w:rsidRDefault="009858A9">
      <w:pPr>
        <w:rPr>
          <w:szCs w:val="22"/>
        </w:rPr>
        <w:sectPr w:rsidR="009858A9" w:rsidRPr="000F1C89" w:rsidSect="00AA7E1D">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vAlign w:val="center"/>
          <w:noEndnote/>
          <w:titlePg/>
        </w:sectPr>
      </w:pPr>
    </w:p>
    <w:p w14:paraId="7C98388C" w14:textId="77777777" w:rsidR="0068234B" w:rsidRPr="000F1C89" w:rsidRDefault="0068234B" w:rsidP="00E97DD1">
      <w:pPr>
        <w:pStyle w:val="Balk1"/>
      </w:pPr>
      <w:bookmarkStart w:id="5" w:name="_Toc529523953"/>
      <w:r w:rsidRPr="000F1C89">
        <w:lastRenderedPageBreak/>
        <w:t>GENERAL PART</w:t>
      </w:r>
      <w:bookmarkEnd w:id="5"/>
    </w:p>
    <w:p w14:paraId="76BE4E7E" w14:textId="3CA19648" w:rsidR="0068234B" w:rsidRPr="000F1C89" w:rsidRDefault="0068234B">
      <w:pPr>
        <w:pStyle w:val="Balk2"/>
      </w:pPr>
      <w:bookmarkStart w:id="6" w:name="_Toc529523954"/>
      <w:r w:rsidRPr="000F1C89">
        <w:t>GENERAL INSTRUCTIONS</w:t>
      </w:r>
      <w:bookmarkEnd w:id="6"/>
    </w:p>
    <w:p w14:paraId="7DD61D73" w14:textId="77777777" w:rsidR="0068234B" w:rsidRPr="000F1C89" w:rsidRDefault="0068234B" w:rsidP="00295D97">
      <w:pPr>
        <w:pStyle w:val="Balk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295D97">
      <w:pPr>
        <w:pStyle w:val="Balk3"/>
      </w:pPr>
      <w:r w:rsidRPr="000F1C89">
        <w:t>Timetable</w:t>
      </w:r>
    </w:p>
    <w:tbl>
      <w:tblPr>
        <w:tblW w:w="92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835"/>
      </w:tblGrid>
      <w:tr w:rsidR="0068234B" w:rsidRPr="000F1C89" w14:paraId="203A0225" w14:textId="77777777" w:rsidTr="0098345A">
        <w:tc>
          <w:tcPr>
            <w:tcW w:w="3969" w:type="dxa"/>
            <w:tcBorders>
              <w:bottom w:val="nil"/>
            </w:tcBorders>
          </w:tcPr>
          <w:p w14:paraId="728484D0" w14:textId="77777777" w:rsidR="0068234B" w:rsidRPr="000F1C89" w:rsidRDefault="0068234B" w:rsidP="00617D2D">
            <w:pPr>
              <w:ind w:left="34"/>
              <w:jc w:val="left"/>
            </w:pPr>
          </w:p>
        </w:tc>
        <w:tc>
          <w:tcPr>
            <w:tcW w:w="2410" w:type="dxa"/>
            <w:shd w:val="pct10" w:color="auto" w:fill="FFFFFF"/>
          </w:tcPr>
          <w:p w14:paraId="60E80577" w14:textId="77777777" w:rsidR="0068234B" w:rsidRPr="000F1C89" w:rsidRDefault="0068234B" w:rsidP="00617D2D">
            <w:pPr>
              <w:ind w:left="34"/>
              <w:jc w:val="center"/>
              <w:rPr>
                <w:b/>
                <w:sz w:val="18"/>
              </w:rPr>
            </w:pPr>
            <w:r w:rsidRPr="000F1C89">
              <w:rPr>
                <w:b/>
                <w:sz w:val="18"/>
              </w:rPr>
              <w:t>DATE</w:t>
            </w:r>
          </w:p>
        </w:tc>
        <w:tc>
          <w:tcPr>
            <w:tcW w:w="2835" w:type="dxa"/>
            <w:tcBorders>
              <w:bottom w:val="nil"/>
            </w:tcBorders>
            <w:shd w:val="pct10" w:color="auto" w:fill="FFFFFF"/>
          </w:tcPr>
          <w:p w14:paraId="40268145" w14:textId="690F3836" w:rsidR="0068234B" w:rsidRPr="000F1C89" w:rsidRDefault="0068234B" w:rsidP="00617D2D">
            <w:pPr>
              <w:ind w:left="34"/>
              <w:jc w:val="center"/>
              <w:rPr>
                <w:b/>
                <w:sz w:val="18"/>
              </w:rPr>
            </w:pPr>
            <w:r w:rsidRPr="000F1C89">
              <w:rPr>
                <w:b/>
                <w:sz w:val="18"/>
              </w:rPr>
              <w:t>TIME</w:t>
            </w:r>
          </w:p>
        </w:tc>
      </w:tr>
      <w:tr w:rsidR="00F33556" w:rsidRPr="000F1C89" w14:paraId="2BADEC2C" w14:textId="77777777" w:rsidTr="0098345A">
        <w:tc>
          <w:tcPr>
            <w:tcW w:w="3969" w:type="dxa"/>
            <w:shd w:val="pct10" w:color="auto" w:fill="FFFFFF"/>
          </w:tcPr>
          <w:p w14:paraId="6C710341" w14:textId="77777777" w:rsidR="00F33556" w:rsidRPr="000F1C89" w:rsidRDefault="00F33556" w:rsidP="00F33556">
            <w:pPr>
              <w:spacing w:before="60" w:after="60"/>
              <w:ind w:left="34"/>
              <w:jc w:val="left"/>
              <w:rPr>
                <w:b/>
              </w:rPr>
            </w:pPr>
            <w:r w:rsidRPr="000F1C89">
              <w:rPr>
                <w:b/>
              </w:rPr>
              <w:t xml:space="preserve">Clarification meeting </w:t>
            </w:r>
            <w:r>
              <w:rPr>
                <w:b/>
              </w:rPr>
              <w:t>(optional)</w:t>
            </w:r>
          </w:p>
        </w:tc>
        <w:tc>
          <w:tcPr>
            <w:tcW w:w="2410" w:type="dxa"/>
          </w:tcPr>
          <w:p w14:paraId="4696CF32" w14:textId="47BFED09" w:rsidR="00F33556" w:rsidRPr="0098345A" w:rsidRDefault="00F33556" w:rsidP="00F33556">
            <w:pPr>
              <w:spacing w:before="60" w:after="60"/>
              <w:ind w:left="34"/>
              <w:jc w:val="left"/>
            </w:pPr>
            <w:r w:rsidRPr="0098345A">
              <w:t>Not applicable</w:t>
            </w:r>
          </w:p>
        </w:tc>
        <w:tc>
          <w:tcPr>
            <w:tcW w:w="2835" w:type="dxa"/>
          </w:tcPr>
          <w:p w14:paraId="2297914D" w14:textId="518794EE" w:rsidR="00F33556" w:rsidRPr="0098345A" w:rsidRDefault="00F33556" w:rsidP="00F33556">
            <w:pPr>
              <w:spacing w:before="60" w:after="60"/>
              <w:ind w:left="34"/>
              <w:jc w:val="center"/>
            </w:pPr>
            <w:r w:rsidRPr="0098345A">
              <w:rPr>
                <w:szCs w:val="22"/>
              </w:rPr>
              <w:t>Not applicable</w:t>
            </w:r>
          </w:p>
        </w:tc>
      </w:tr>
      <w:tr w:rsidR="00F33556" w:rsidRPr="000F1C89" w14:paraId="2AF85513" w14:textId="77777777" w:rsidTr="0098345A">
        <w:tc>
          <w:tcPr>
            <w:tcW w:w="3969" w:type="dxa"/>
            <w:shd w:val="pct10" w:color="auto" w:fill="FFFFFF"/>
          </w:tcPr>
          <w:p w14:paraId="4A4A2C79" w14:textId="77777777" w:rsidR="00F33556" w:rsidRPr="000F1C89" w:rsidRDefault="00F33556" w:rsidP="0098345A">
            <w:pPr>
              <w:spacing w:before="60" w:after="60"/>
              <w:ind w:left="34"/>
              <w:jc w:val="center"/>
              <w:rPr>
                <w:b/>
              </w:rPr>
            </w:pPr>
            <w:r w:rsidRPr="000F1C89">
              <w:rPr>
                <w:b/>
              </w:rPr>
              <w:t>Site visit</w:t>
            </w:r>
            <w:r>
              <w:rPr>
                <w:b/>
              </w:rPr>
              <w:t xml:space="preserve"> (optional)</w:t>
            </w:r>
          </w:p>
        </w:tc>
        <w:tc>
          <w:tcPr>
            <w:tcW w:w="2410" w:type="dxa"/>
          </w:tcPr>
          <w:p w14:paraId="1A990BA8" w14:textId="0349636E" w:rsidR="00F33556" w:rsidRPr="0098345A" w:rsidRDefault="00F33556" w:rsidP="00F33556">
            <w:pPr>
              <w:spacing w:before="60" w:after="60"/>
              <w:ind w:left="34"/>
              <w:jc w:val="left"/>
            </w:pPr>
            <w:r w:rsidRPr="0098345A">
              <w:t>Not applicable</w:t>
            </w:r>
          </w:p>
        </w:tc>
        <w:tc>
          <w:tcPr>
            <w:tcW w:w="2835" w:type="dxa"/>
          </w:tcPr>
          <w:p w14:paraId="7C60DC82" w14:textId="666489AC" w:rsidR="00F33556" w:rsidRPr="0098345A" w:rsidRDefault="00F33556" w:rsidP="0098345A">
            <w:pPr>
              <w:spacing w:before="60" w:after="60"/>
              <w:ind w:left="34"/>
              <w:jc w:val="center"/>
            </w:pPr>
            <w:r w:rsidRPr="0098345A">
              <w:rPr>
                <w:szCs w:val="22"/>
              </w:rPr>
              <w:t>Not applicable</w:t>
            </w:r>
          </w:p>
        </w:tc>
      </w:tr>
      <w:tr w:rsidR="00F33556" w:rsidRPr="000F1C89" w14:paraId="4A288481" w14:textId="77777777" w:rsidTr="0098345A">
        <w:tc>
          <w:tcPr>
            <w:tcW w:w="3969" w:type="dxa"/>
            <w:shd w:val="pct10" w:color="auto" w:fill="FFFFFF"/>
          </w:tcPr>
          <w:p w14:paraId="13E47878" w14:textId="77777777"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14:paraId="3EEE60C5" w14:textId="6F5C724B" w:rsidR="00F33556" w:rsidRPr="000F1C89" w:rsidRDefault="00374882" w:rsidP="00F33556">
            <w:pPr>
              <w:spacing w:before="60" w:after="60"/>
              <w:ind w:left="34"/>
              <w:jc w:val="left"/>
            </w:pPr>
            <w:r>
              <w:rPr>
                <w:szCs w:val="22"/>
              </w:rPr>
              <w:t>31</w:t>
            </w:r>
            <w:r w:rsidR="00665154">
              <w:rPr>
                <w:szCs w:val="22"/>
              </w:rPr>
              <w:t>.01.2022</w:t>
            </w:r>
          </w:p>
        </w:tc>
        <w:tc>
          <w:tcPr>
            <w:tcW w:w="2835" w:type="dxa"/>
          </w:tcPr>
          <w:p w14:paraId="5A0342DA" w14:textId="5DE7DF23" w:rsidR="00F33556" w:rsidRPr="000F1C89" w:rsidRDefault="00F33556" w:rsidP="00F33556">
            <w:pPr>
              <w:spacing w:before="60" w:after="60"/>
              <w:ind w:left="34"/>
              <w:jc w:val="center"/>
            </w:pPr>
            <w:r>
              <w:t>--</w:t>
            </w:r>
          </w:p>
        </w:tc>
      </w:tr>
      <w:tr w:rsidR="00F33556" w:rsidRPr="000F1C89" w14:paraId="17FE0DFC" w14:textId="77777777" w:rsidTr="0098345A">
        <w:tc>
          <w:tcPr>
            <w:tcW w:w="3969" w:type="dxa"/>
            <w:shd w:val="pct10" w:color="auto" w:fill="FFFFFF"/>
          </w:tcPr>
          <w:p w14:paraId="0F702481" w14:textId="77777777"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14:paraId="5C3521F5" w14:textId="7EBCA01D" w:rsidR="00F33556" w:rsidRPr="000F1C89" w:rsidRDefault="00665154" w:rsidP="00F33556">
            <w:pPr>
              <w:spacing w:before="60" w:after="60"/>
              <w:ind w:left="34"/>
              <w:jc w:val="left"/>
            </w:pPr>
            <w:r>
              <w:rPr>
                <w:szCs w:val="22"/>
              </w:rPr>
              <w:t>1</w:t>
            </w:r>
            <w:r w:rsidR="00374882">
              <w:rPr>
                <w:szCs w:val="22"/>
              </w:rPr>
              <w:t>1</w:t>
            </w:r>
            <w:r>
              <w:rPr>
                <w:szCs w:val="22"/>
              </w:rPr>
              <w:t>.02.2022</w:t>
            </w:r>
          </w:p>
        </w:tc>
        <w:tc>
          <w:tcPr>
            <w:tcW w:w="2835" w:type="dxa"/>
          </w:tcPr>
          <w:p w14:paraId="7D649D93" w14:textId="6C3F686A" w:rsidR="00F33556" w:rsidRPr="000F1C89" w:rsidRDefault="00F33556" w:rsidP="00F33556">
            <w:pPr>
              <w:spacing w:before="60" w:after="60"/>
              <w:ind w:left="34"/>
              <w:jc w:val="center"/>
            </w:pPr>
            <w:r w:rsidRPr="00E82463">
              <w:t>-</w:t>
            </w:r>
          </w:p>
        </w:tc>
      </w:tr>
      <w:tr w:rsidR="00F33556" w:rsidRPr="000F1C89" w14:paraId="7050C853" w14:textId="77777777" w:rsidTr="0098345A">
        <w:tc>
          <w:tcPr>
            <w:tcW w:w="3969" w:type="dxa"/>
            <w:shd w:val="pct10" w:color="auto" w:fill="FFFFFF"/>
          </w:tcPr>
          <w:p w14:paraId="086B4083" w14:textId="77777777" w:rsidR="00F33556" w:rsidRPr="000F1C89" w:rsidRDefault="00F33556" w:rsidP="00F33556">
            <w:pPr>
              <w:spacing w:before="60" w:after="60"/>
              <w:ind w:left="34"/>
              <w:jc w:val="left"/>
              <w:rPr>
                <w:b/>
              </w:rPr>
            </w:pPr>
            <w:r w:rsidRPr="000F1C89">
              <w:rPr>
                <w:b/>
              </w:rPr>
              <w:t>Deadline for submitting tenders</w:t>
            </w:r>
          </w:p>
        </w:tc>
        <w:tc>
          <w:tcPr>
            <w:tcW w:w="2410" w:type="dxa"/>
          </w:tcPr>
          <w:p w14:paraId="15968B67" w14:textId="1264E1D9" w:rsidR="00F33556" w:rsidRPr="000F1C89" w:rsidRDefault="00374882" w:rsidP="00F33556">
            <w:pPr>
              <w:spacing w:before="60" w:after="60"/>
              <w:ind w:left="34"/>
              <w:jc w:val="left"/>
            </w:pPr>
            <w:r>
              <w:t>21</w:t>
            </w:r>
            <w:r w:rsidR="003B5B56">
              <w:t>.02.2022</w:t>
            </w:r>
          </w:p>
        </w:tc>
        <w:tc>
          <w:tcPr>
            <w:tcW w:w="2835" w:type="dxa"/>
          </w:tcPr>
          <w:p w14:paraId="4B6EAF88" w14:textId="657E6922" w:rsidR="00F33556" w:rsidRPr="000F1C89" w:rsidRDefault="003B5B56" w:rsidP="00F33556">
            <w:pPr>
              <w:spacing w:before="60" w:after="60"/>
              <w:ind w:left="34"/>
              <w:jc w:val="center"/>
            </w:pPr>
            <w:r>
              <w:t>17:00</w:t>
            </w:r>
          </w:p>
        </w:tc>
      </w:tr>
      <w:tr w:rsidR="00F33556" w:rsidRPr="000F1C89" w14:paraId="074BFCE0" w14:textId="77777777" w:rsidTr="0098345A">
        <w:tc>
          <w:tcPr>
            <w:tcW w:w="3969" w:type="dxa"/>
            <w:shd w:val="pct10" w:color="auto" w:fill="FFFFFF"/>
          </w:tcPr>
          <w:p w14:paraId="662202C6" w14:textId="77777777" w:rsidR="00F33556" w:rsidRPr="000F1C89" w:rsidRDefault="00F33556" w:rsidP="00F33556">
            <w:pPr>
              <w:spacing w:before="60" w:after="60"/>
              <w:ind w:left="34"/>
              <w:jc w:val="left"/>
              <w:rPr>
                <w:b/>
              </w:rPr>
            </w:pPr>
            <w:r w:rsidRPr="000F1C89">
              <w:rPr>
                <w:b/>
              </w:rPr>
              <w:t>Tender opening session</w:t>
            </w:r>
          </w:p>
        </w:tc>
        <w:tc>
          <w:tcPr>
            <w:tcW w:w="2410" w:type="dxa"/>
          </w:tcPr>
          <w:p w14:paraId="41D1520D" w14:textId="4428AD94" w:rsidR="00F33556" w:rsidRPr="000F1C89" w:rsidRDefault="003B5B56" w:rsidP="00F33556">
            <w:pPr>
              <w:spacing w:before="60" w:after="60"/>
              <w:ind w:left="34"/>
              <w:jc w:val="left"/>
            </w:pPr>
            <w:r>
              <w:t>2</w:t>
            </w:r>
            <w:r w:rsidR="00115F30">
              <w:t>8</w:t>
            </w:r>
            <w:r>
              <w:t>.02.2022</w:t>
            </w:r>
          </w:p>
        </w:tc>
        <w:tc>
          <w:tcPr>
            <w:tcW w:w="2835" w:type="dxa"/>
          </w:tcPr>
          <w:p w14:paraId="16459AB0" w14:textId="63BCD09A" w:rsidR="00F33556" w:rsidRPr="000F1C89" w:rsidRDefault="003B5B56" w:rsidP="00F33556">
            <w:pPr>
              <w:spacing w:before="60" w:after="60"/>
              <w:ind w:left="34"/>
              <w:jc w:val="center"/>
            </w:pPr>
            <w:r>
              <w:t>14:00</w:t>
            </w:r>
          </w:p>
        </w:tc>
      </w:tr>
      <w:tr w:rsidR="0068234B" w:rsidRPr="000F1C89" w14:paraId="0A32782D" w14:textId="77777777" w:rsidTr="0098345A">
        <w:tc>
          <w:tcPr>
            <w:tcW w:w="3969" w:type="dxa"/>
            <w:shd w:val="pct10" w:color="auto" w:fill="FFFFFF"/>
          </w:tcPr>
          <w:p w14:paraId="0930D3ED"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313EE791" w14:textId="28553E2B" w:rsidR="0068234B" w:rsidRPr="000F1C89" w:rsidRDefault="003B5B56" w:rsidP="00AA1AE6">
            <w:pPr>
              <w:spacing w:before="60" w:after="60"/>
              <w:ind w:left="34"/>
              <w:jc w:val="left"/>
            </w:pPr>
            <w:r>
              <w:t>0</w:t>
            </w:r>
            <w:r w:rsidR="00E3497F">
              <w:t>4</w:t>
            </w:r>
            <w:r>
              <w:t>.03.2022</w:t>
            </w:r>
            <w:r w:rsidR="0068234B" w:rsidRPr="000F1C89">
              <w:rPr>
                <w:vertAlign w:val="superscript"/>
              </w:rPr>
              <w:sym w:font="Monotype Sorts" w:char="F027"/>
            </w:r>
          </w:p>
        </w:tc>
        <w:tc>
          <w:tcPr>
            <w:tcW w:w="2835" w:type="dxa"/>
          </w:tcPr>
          <w:p w14:paraId="55466F8E" w14:textId="77777777" w:rsidR="0068234B" w:rsidRPr="000F1C89" w:rsidRDefault="0068234B" w:rsidP="00AA1AE6">
            <w:pPr>
              <w:spacing w:before="60" w:after="60"/>
              <w:ind w:left="34"/>
              <w:jc w:val="center"/>
            </w:pPr>
            <w:r w:rsidRPr="000F1C89">
              <w:t>-</w:t>
            </w:r>
          </w:p>
        </w:tc>
      </w:tr>
      <w:tr w:rsidR="0068234B" w:rsidRPr="000F1C89" w14:paraId="07E74724" w14:textId="77777777" w:rsidTr="0098345A">
        <w:tc>
          <w:tcPr>
            <w:tcW w:w="3969" w:type="dxa"/>
            <w:shd w:val="pct10" w:color="auto" w:fill="FFFFFF"/>
          </w:tcPr>
          <w:p w14:paraId="4D3904C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1F7A1DFE" w14:textId="284D00AE" w:rsidR="0068234B" w:rsidRPr="000F1C89" w:rsidRDefault="003B5B56" w:rsidP="00AA1AE6">
            <w:pPr>
              <w:spacing w:before="60" w:after="60"/>
              <w:ind w:left="34"/>
              <w:jc w:val="left"/>
            </w:pPr>
            <w:r>
              <w:t>2</w:t>
            </w:r>
            <w:r w:rsidR="00E3497F">
              <w:t>1</w:t>
            </w:r>
            <w:r>
              <w:t>.03.2022</w:t>
            </w:r>
            <w:r w:rsidR="0068234B" w:rsidRPr="000F1C89">
              <w:rPr>
                <w:vertAlign w:val="superscript"/>
              </w:rPr>
              <w:sym w:font="Monotype Sorts" w:char="F027"/>
            </w:r>
          </w:p>
        </w:tc>
        <w:tc>
          <w:tcPr>
            <w:tcW w:w="2835" w:type="dxa"/>
          </w:tcPr>
          <w:p w14:paraId="2ADD53DE" w14:textId="77777777" w:rsidR="0068234B" w:rsidRPr="000F1C89" w:rsidRDefault="0068234B" w:rsidP="00AA1AE6">
            <w:pPr>
              <w:spacing w:before="60" w:after="60"/>
              <w:ind w:left="34"/>
              <w:jc w:val="center"/>
            </w:pPr>
            <w:r w:rsidRPr="000F1C89">
              <w:t>-</w:t>
            </w:r>
          </w:p>
        </w:tc>
      </w:tr>
    </w:tbl>
    <w:p w14:paraId="4EA0DB3C" w14:textId="78E7A77C" w:rsidR="0068234B" w:rsidRDefault="0068234B" w:rsidP="00617D2D">
      <w:pPr>
        <w:ind w:left="1276"/>
        <w:rPr>
          <w:b/>
        </w:rPr>
      </w:pPr>
      <w:bookmarkStart w:id="7" w:name="_Ref500317541"/>
      <w:r w:rsidRPr="000F1C89">
        <w:rPr>
          <w:b/>
        </w:rPr>
        <w:t xml:space="preserve"> </w:t>
      </w:r>
    </w:p>
    <w:p w14:paraId="0C077E9E" w14:textId="63AC2818"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14:paraId="16912381" w14:textId="1EE17DBD" w:rsidR="0068234B" w:rsidRPr="000F1C89" w:rsidRDefault="0068234B">
      <w:pPr>
        <w:pStyle w:val="Balk2"/>
      </w:pPr>
      <w:bookmarkStart w:id="8" w:name="_Toc529523955"/>
      <w:bookmarkEnd w:id="7"/>
      <w:r w:rsidRPr="000F1C89">
        <w:t>FINANCING</w:t>
      </w:r>
      <w:bookmarkEnd w:id="8"/>
    </w:p>
    <w:p w14:paraId="175B021B" w14:textId="793586F0" w:rsidR="009A0C14" w:rsidRPr="000F1C89" w:rsidRDefault="0068234B" w:rsidP="009A0C14">
      <w:r w:rsidRPr="000F1C89">
        <w:t>The project is</w:t>
      </w:r>
      <w:r w:rsidR="009A0C14" w:rsidRPr="009A0C14">
        <w:t xml:space="preserve"> </w:t>
      </w:r>
      <w:r w:rsidR="009A0C14" w:rsidRPr="003E2AEB">
        <w:t>co-financed</w:t>
      </w:r>
      <w:r w:rsidR="009A0C14">
        <w:t xml:space="preserve"> </w:t>
      </w:r>
      <w:r w:rsidR="009A0C14" w:rsidRPr="000F1C89">
        <w:t xml:space="preserve">by the European Union, in accordance with the rules of </w:t>
      </w:r>
      <w:r w:rsidR="009A0C14" w:rsidRPr="0024346D">
        <w:t>Interreg-IPA Cross – Border Cooperation Bulgaria-Turkey Programme 2014-2020, Second Call for project proposals No 2014TC16I5CB005-2018-2</w:t>
      </w:r>
      <w:r w:rsidR="009A0C14">
        <w:t xml:space="preserve"> </w:t>
      </w:r>
      <w:r w:rsidR="009A0C14" w:rsidRPr="0024346D">
        <w:t>and the Regulation (EU) No</w:t>
      </w:r>
      <w:r w:rsidR="009A0C14">
        <w:t xml:space="preserve"> </w:t>
      </w:r>
      <w:r w:rsidR="009A0C14" w:rsidRPr="0024346D">
        <w:t>236/2014</w:t>
      </w:r>
      <w:r w:rsidR="009A0C14" w:rsidRPr="000F1C89">
        <w:t>.</w:t>
      </w:r>
    </w:p>
    <w:p w14:paraId="363ED5AB" w14:textId="4C6FCACC" w:rsidR="0068234B" w:rsidRPr="000F1C89" w:rsidRDefault="009A0C14" w:rsidP="009A0C14">
      <w:r w:rsidRPr="0024346D">
        <w:t>The project is co-financed by the national budgets of the Republic of Bulgaria and the Republic of Turkey.</w:t>
      </w:r>
    </w:p>
    <w:p w14:paraId="2397E4DA" w14:textId="6EF64B98" w:rsidR="0068234B" w:rsidRPr="000F1C89" w:rsidRDefault="0068234B">
      <w:pPr>
        <w:pStyle w:val="Balk2"/>
      </w:pPr>
      <w:bookmarkStart w:id="9" w:name="_Toc529523956"/>
      <w:r w:rsidRPr="000F1C89">
        <w:t>PARTICIPATION</w:t>
      </w:r>
      <w:bookmarkEnd w:id="9"/>
    </w:p>
    <w:p w14:paraId="68FA97C7" w14:textId="03A1A5B5" w:rsidR="00AA7E1D" w:rsidRPr="000F1C89" w:rsidRDefault="0068234B" w:rsidP="00AA7E1D">
      <w:pPr>
        <w:pStyle w:val="Balk3"/>
        <w:ind w:left="720"/>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FB10F5">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 xml:space="preserve">every </w:t>
      </w:r>
      <w:proofErr w:type="gramStart"/>
      <w:r w:rsidRPr="000F1C89">
        <w:t>subcontractor</w:t>
      </w:r>
      <w:proofErr w:type="gramEnd"/>
      <w:r w:rsidRPr="000F1C89">
        <w:t xml:space="preserve">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4713CECA" w:rsidR="00AA7E1D" w:rsidRPr="000F1C89" w:rsidRDefault="0068234B" w:rsidP="00AA7E1D">
      <w:pPr>
        <w:pStyle w:val="Balk3"/>
        <w:ind w:left="720"/>
      </w:pPr>
      <w:r w:rsidRPr="000F1C89">
        <w:lastRenderedPageBreak/>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w:t>
      </w:r>
      <w:proofErr w:type="gramStart"/>
      <w:r w:rsidR="00B328BF" w:rsidRPr="00B328BF">
        <w:t>exclusion</w:t>
      </w:r>
      <w:proofErr w:type="gramEnd"/>
      <w:r w:rsidR="00B328BF" w:rsidRPr="00B328BF">
        <w:t xml:space="preserve"> criteria) or </w:t>
      </w:r>
      <w:r w:rsidR="000C55DE">
        <w:t>2.6.10.1.2.</w:t>
      </w:r>
      <w:r w:rsidR="00B328BF" w:rsidRPr="00B328BF">
        <w:t xml:space="preserve"> (</w:t>
      </w:r>
      <w:proofErr w:type="gramStart"/>
      <w:r w:rsidR="00B328BF" w:rsidRPr="00B328BF">
        <w:t>rejection</w:t>
      </w:r>
      <w:proofErr w:type="gramEnd"/>
      <w:r w:rsidR="00B328BF" w:rsidRPr="00B328BF">
        <w:t xml:space="preserve">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2ACF1D4F" w:rsidR="00AA7E1D" w:rsidRPr="000F1C89" w:rsidRDefault="0068234B" w:rsidP="00D2731E">
      <w:pPr>
        <w:pStyle w:val="Balk3"/>
        <w:numPr>
          <w:ilvl w:val="0"/>
          <w:numId w:val="0"/>
        </w:numPr>
      </w:pPr>
      <w:r w:rsidRPr="000F1C89">
        <w:t>The exclusion situation</w:t>
      </w:r>
      <w:r w:rsidR="00346EFA">
        <w:t>s</w:t>
      </w:r>
      <w:r w:rsidRPr="000F1C89">
        <w:t xml:space="preserve"> referred to in subclause </w:t>
      </w:r>
      <w:r w:rsidR="002A632D">
        <w:t>3.2</w:t>
      </w:r>
      <w:r w:rsidR="00346EFA">
        <w:t xml:space="preserve"> </w:t>
      </w:r>
      <w:r w:rsidRPr="000F1C89">
        <w:t>appl</w:t>
      </w:r>
      <w:r w:rsidR="007C09BB">
        <w:t>y</w:t>
      </w:r>
      <w:r w:rsidRPr="000F1C89">
        <w:t xml:space="preserve"> to all members of a joint venture/consortium, all </w:t>
      </w:r>
      <w:proofErr w:type="gramStart"/>
      <w:r w:rsidRPr="000F1C89">
        <w:t>subcontractors</w:t>
      </w:r>
      <w:proofErr w:type="gramEnd"/>
      <w:r w:rsidRPr="000F1C89">
        <w:t xml:space="preserve"> and all suppliers to tenderers</w:t>
      </w:r>
      <w:r w:rsidR="004E276B" w:rsidRPr="000F1C89">
        <w:t>, as well as to all entities upon whose capacity the tenderer relies for the selection criteria</w:t>
      </w:r>
      <w:r w:rsidRPr="000F1C89">
        <w:t>.</w:t>
      </w:r>
      <w:r w:rsidR="00AA7E1D" w:rsidRPr="00AA7E1D">
        <w:t xml:space="preserve"> </w:t>
      </w:r>
    </w:p>
    <w:p w14:paraId="1E338582" w14:textId="77C3C7CD" w:rsidR="0068234B" w:rsidRPr="000F1C89" w:rsidRDefault="003E3265" w:rsidP="009A0C14">
      <w:pPr>
        <w:pStyle w:val="Balk3"/>
        <w:ind w:left="720"/>
        <w:rPr>
          <w:b/>
        </w:rPr>
      </w:pPr>
      <w:r>
        <w:t xml:space="preserve">Subcontracting is allowed but the contractor will retain full liability towards the contracting authority for performance of the </w:t>
      </w:r>
      <w:proofErr w:type="gramStart"/>
      <w:r>
        <w:t>contract as a whole</w:t>
      </w:r>
      <w:proofErr w:type="gramEnd"/>
      <w:r>
        <w:t xml:space="preserve">. </w:t>
      </w:r>
    </w:p>
    <w:p w14:paraId="399589D1" w14:textId="3598B034" w:rsidR="0068234B" w:rsidRPr="000F1C89" w:rsidRDefault="0068234B">
      <w:pPr>
        <w:pStyle w:val="Balk2"/>
      </w:pPr>
      <w:bookmarkStart w:id="10" w:name="_Toc529523957"/>
      <w:r w:rsidRPr="000F1C89">
        <w:t>ONLY ONE TENDER PER TENDERER</w:t>
      </w:r>
      <w:bookmarkEnd w:id="10"/>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pPr>
        <w:pStyle w:val="Balk2"/>
      </w:pPr>
      <w:bookmarkStart w:id="11" w:name="_Toc529523958"/>
      <w:r w:rsidRPr="000F1C89">
        <w:t>TENDER EXPENSES</w:t>
      </w:r>
      <w:bookmarkEnd w:id="11"/>
    </w:p>
    <w:p w14:paraId="3077A57E" w14:textId="77777777" w:rsidR="0068234B" w:rsidRPr="000F1C89" w:rsidRDefault="0068234B" w:rsidP="000A7BE8">
      <w:pPr>
        <w:pStyle w:val="Balk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AA7E1D">
      <w:pPr>
        <w:pStyle w:val="Balk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pPr>
        <w:pStyle w:val="Balk2"/>
      </w:pPr>
      <w:bookmarkStart w:id="12" w:name="_Toc529523959"/>
      <w:r w:rsidRPr="000F1C89">
        <w:t xml:space="preserve">SITE </w:t>
      </w:r>
      <w:r w:rsidR="00526C2B" w:rsidRPr="000F1C89">
        <w:t>VISIT AND CLARIFICATION MEETING</w:t>
      </w:r>
      <w:bookmarkEnd w:id="12"/>
    </w:p>
    <w:p w14:paraId="73A415BF" w14:textId="1C695761" w:rsidR="00AA7E1D" w:rsidRPr="000F1C89" w:rsidRDefault="0068234B" w:rsidP="00AA7E1D">
      <w:pPr>
        <w:pStyle w:val="Balk3"/>
        <w:ind w:left="720"/>
      </w:pPr>
      <w:r w:rsidRPr="000F1C89">
        <w:t xml:space="preserve">The </w:t>
      </w:r>
      <w:r w:rsidRPr="00043500">
        <w:t>tenderer is strongly advised to visit</w:t>
      </w:r>
      <w:r w:rsidRPr="000F1C89">
        <w:t xml:space="preserve">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w:t>
      </w:r>
      <w:proofErr w:type="gramStart"/>
      <w:r w:rsidRPr="000F1C89">
        <w:t>time</w:t>
      </w:r>
      <w:proofErr w:type="gramEnd"/>
      <w:r w:rsidRPr="000F1C89">
        <w:t xml:space="preserve"> and place, see </w:t>
      </w:r>
      <w:r w:rsidR="001C7EB2">
        <w:t xml:space="preserve">the additional information about </w:t>
      </w:r>
      <w:r w:rsidRPr="000F1C89">
        <w:t xml:space="preserve">the </w:t>
      </w:r>
      <w:r w:rsidR="001F2D2F" w:rsidRPr="000F1C89">
        <w:t>contract notice</w:t>
      </w:r>
      <w:r w:rsidRPr="000F1C89">
        <w:t>.</w:t>
      </w:r>
      <w:r w:rsidR="006072A7" w:rsidRPr="000F1C89">
        <w:t>)</w:t>
      </w:r>
      <w:r w:rsidR="00AA7E1D" w:rsidRPr="00AA7E1D">
        <w:t xml:space="preserve"> </w:t>
      </w:r>
    </w:p>
    <w:p w14:paraId="78E343A8" w14:textId="0D2EC98A" w:rsidR="00AA7E1D" w:rsidRDefault="0068234B" w:rsidP="00AA7E1D">
      <w:pPr>
        <w:pStyle w:val="Balk3"/>
        <w:ind w:left="720"/>
      </w:pPr>
      <w:r w:rsidRPr="000F1C89">
        <w:t xml:space="preserve">A clarification meeting and/or a </w:t>
      </w:r>
      <w:r w:rsidRPr="0098345A">
        <w:t>site visit will not be held by</w:t>
      </w:r>
      <w:r w:rsidRPr="000F1C89">
        <w:t xml:space="preserve"> the </w:t>
      </w:r>
      <w:r w:rsidR="00EB7A64">
        <w:t>c</w:t>
      </w:r>
      <w:r w:rsidRPr="000F1C89">
        <w:t xml:space="preserve">ontracting </w:t>
      </w:r>
      <w:r w:rsidR="00EB7A64">
        <w:t>a</w:t>
      </w:r>
      <w:r w:rsidRPr="000F1C89">
        <w:t>uthority</w:t>
      </w:r>
      <w:r w:rsidR="0098345A">
        <w:t>.</w:t>
      </w:r>
    </w:p>
    <w:p w14:paraId="06CB035E" w14:textId="77777777" w:rsidR="00043500" w:rsidRPr="00043500" w:rsidRDefault="00043500" w:rsidP="00043500"/>
    <w:p w14:paraId="53E1B406" w14:textId="1AAE966D" w:rsidR="00AA7E1D" w:rsidRPr="000F1C89" w:rsidRDefault="0048094E">
      <w:pPr>
        <w:pStyle w:val="Balk2"/>
      </w:pPr>
      <w:bookmarkStart w:id="13" w:name="_Toc529523960"/>
      <w:r>
        <w:lastRenderedPageBreak/>
        <w:t xml:space="preserve">CONTENT OF </w:t>
      </w:r>
      <w:r w:rsidR="0068234B" w:rsidRPr="000F1C89">
        <w:t>TENDER DOCUMENTS</w:t>
      </w:r>
      <w:bookmarkEnd w:id="13"/>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w:t>
      </w:r>
      <w:proofErr w:type="gramStart"/>
      <w:r w:rsidRPr="000F1C89">
        <w:t>In the event that</w:t>
      </w:r>
      <w:proofErr w:type="gramEnd"/>
      <w:r w:rsidRPr="000F1C89">
        <w:t xml:space="preserve">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5D7A6F7A" w:rsidR="0068234B" w:rsidRPr="000F1C89" w:rsidRDefault="0068234B">
      <w:pPr>
        <w:pStyle w:val="Balk2"/>
      </w:pPr>
      <w:bookmarkStart w:id="14" w:name="_Toc529523961"/>
      <w:r w:rsidRPr="000F1C89">
        <w:t>EXPLANATIONS CONCERNING TENDER DOCUMENTS</w:t>
      </w:r>
      <w:bookmarkEnd w:id="14"/>
    </w:p>
    <w:p w14:paraId="27D39B1C" w14:textId="354CEC04" w:rsidR="00F92CF4" w:rsidRPr="00F92CF4" w:rsidRDefault="00F92CF4" w:rsidP="00F92CF4">
      <w:pPr>
        <w:keepNext/>
        <w:spacing w:before="120"/>
        <w:rPr>
          <w:snapToGrid/>
          <w:szCs w:val="22"/>
          <w:lang w:eastAsia="en-GB"/>
        </w:rPr>
      </w:pPr>
      <w:r w:rsidRPr="00043500">
        <w:rPr>
          <w:snapToGrid/>
          <w:szCs w:val="22"/>
          <w:lang w:eastAsia="en-GB"/>
        </w:rPr>
        <w:t xml:space="preserve">Tenderers may submit questions in writing to the following address up to 21 </w:t>
      </w:r>
      <w:proofErr w:type="gramStart"/>
      <w:r w:rsidRPr="00043500">
        <w:rPr>
          <w:snapToGrid/>
          <w:szCs w:val="22"/>
          <w:lang w:eastAsia="en-GB"/>
        </w:rPr>
        <w:t>day</w:t>
      </w:r>
      <w:proofErr w:type="gramEnd"/>
      <w:r w:rsidRPr="00043500">
        <w:rPr>
          <w:szCs w:val="22"/>
          <w:lang w:eastAsia="en-GB"/>
        </w:rPr>
        <w:t xml:space="preserve"> </w:t>
      </w:r>
      <w:r w:rsidRPr="00043500">
        <w:rPr>
          <w:snapToGrid/>
          <w:szCs w:val="22"/>
          <w:lang w:eastAsia="en-GB"/>
        </w:rPr>
        <w:t>before the deadline for submission of tenders, specifying the publication reference and the contract title:</w:t>
      </w:r>
    </w:p>
    <w:p w14:paraId="76FC0049" w14:textId="4083B2D4" w:rsidR="00A13C7E" w:rsidRPr="00370CE8" w:rsidRDefault="00F92CF4" w:rsidP="00370CE8">
      <w:pPr>
        <w:spacing w:after="0"/>
        <w:jc w:val="left"/>
        <w:rPr>
          <w:snapToGrid/>
          <w:szCs w:val="22"/>
          <w:lang w:eastAsia="en-GB"/>
        </w:rPr>
      </w:pPr>
      <w:r w:rsidRPr="00002E38">
        <w:rPr>
          <w:snapToGrid/>
          <w:szCs w:val="22"/>
          <w:lang w:eastAsia="en-GB"/>
        </w:rPr>
        <w:t>Contact name</w:t>
      </w:r>
      <w:r w:rsidR="0098345A" w:rsidRPr="00002E38">
        <w:rPr>
          <w:snapToGrid/>
          <w:szCs w:val="22"/>
          <w:lang w:eastAsia="en-GB"/>
        </w:rPr>
        <w:t xml:space="preserve">: </w:t>
      </w:r>
      <w:r w:rsidR="00002E38" w:rsidRPr="00002E38">
        <w:rPr>
          <w:snapToGrid/>
          <w:szCs w:val="22"/>
          <w:lang w:eastAsia="en-GB"/>
        </w:rPr>
        <w:t xml:space="preserve">Tahir </w:t>
      </w:r>
      <w:proofErr w:type="spellStart"/>
      <w:r w:rsidR="00002E38" w:rsidRPr="00002E38">
        <w:rPr>
          <w:snapToGrid/>
          <w:szCs w:val="22"/>
          <w:lang w:eastAsia="en-GB"/>
        </w:rPr>
        <w:t>Demirel</w:t>
      </w:r>
      <w:proofErr w:type="spellEnd"/>
      <w:r w:rsidR="00002E38" w:rsidRPr="00002E38">
        <w:t>- Project Coordinator</w:t>
      </w:r>
      <w:r w:rsidRPr="00002E38">
        <w:rPr>
          <w:snapToGrid/>
          <w:szCs w:val="22"/>
          <w:lang w:eastAsia="en-GB"/>
        </w:rPr>
        <w:br/>
        <w:t>Address</w:t>
      </w:r>
      <w:r w:rsidR="0098345A" w:rsidRPr="00002E38">
        <w:rPr>
          <w:snapToGrid/>
          <w:szCs w:val="22"/>
          <w:lang w:eastAsia="en-GB"/>
        </w:rPr>
        <w:t xml:space="preserve">: </w:t>
      </w:r>
      <w:proofErr w:type="spellStart"/>
      <w:r w:rsidR="00002E38" w:rsidRPr="00002E38">
        <w:rPr>
          <w:snapToGrid/>
          <w:szCs w:val="22"/>
          <w:lang w:eastAsia="en-GB"/>
        </w:rPr>
        <w:t>Kültür</w:t>
      </w:r>
      <w:proofErr w:type="spellEnd"/>
      <w:r w:rsidR="00002E38" w:rsidRPr="00002E38">
        <w:rPr>
          <w:snapToGrid/>
          <w:szCs w:val="22"/>
          <w:lang w:eastAsia="en-GB"/>
        </w:rPr>
        <w:t xml:space="preserve"> </w:t>
      </w:r>
      <w:proofErr w:type="spellStart"/>
      <w:r w:rsidR="00002E38" w:rsidRPr="00002E38">
        <w:rPr>
          <w:snapToGrid/>
          <w:szCs w:val="22"/>
          <w:lang w:eastAsia="en-GB"/>
        </w:rPr>
        <w:t>ve</w:t>
      </w:r>
      <w:proofErr w:type="spellEnd"/>
      <w:r w:rsidR="00002E38" w:rsidRPr="00002E38">
        <w:rPr>
          <w:snapToGrid/>
          <w:szCs w:val="22"/>
          <w:lang w:eastAsia="en-GB"/>
        </w:rPr>
        <w:t xml:space="preserve"> </w:t>
      </w:r>
      <w:proofErr w:type="spellStart"/>
      <w:r w:rsidR="00002E38" w:rsidRPr="00002E38">
        <w:rPr>
          <w:snapToGrid/>
          <w:szCs w:val="22"/>
          <w:lang w:eastAsia="en-GB"/>
        </w:rPr>
        <w:t>Sosyal</w:t>
      </w:r>
      <w:proofErr w:type="spellEnd"/>
      <w:r w:rsidR="00002E38" w:rsidRPr="00002E38">
        <w:rPr>
          <w:snapToGrid/>
          <w:szCs w:val="22"/>
          <w:lang w:eastAsia="en-GB"/>
        </w:rPr>
        <w:t xml:space="preserve"> </w:t>
      </w:r>
      <w:proofErr w:type="spellStart"/>
      <w:r w:rsidR="00002E38" w:rsidRPr="00002E38">
        <w:rPr>
          <w:snapToGrid/>
          <w:szCs w:val="22"/>
          <w:lang w:eastAsia="en-GB"/>
        </w:rPr>
        <w:t>İşler</w:t>
      </w:r>
      <w:proofErr w:type="spellEnd"/>
      <w:r w:rsidR="00002E38" w:rsidRPr="00002E38">
        <w:rPr>
          <w:snapToGrid/>
          <w:szCs w:val="22"/>
          <w:lang w:eastAsia="en-GB"/>
        </w:rPr>
        <w:t xml:space="preserve"> </w:t>
      </w:r>
      <w:proofErr w:type="spellStart"/>
      <w:r w:rsidR="00002E38" w:rsidRPr="00002E38">
        <w:rPr>
          <w:snapToGrid/>
          <w:szCs w:val="22"/>
          <w:lang w:eastAsia="en-GB"/>
        </w:rPr>
        <w:t>Müdürlüğü</w:t>
      </w:r>
      <w:proofErr w:type="spellEnd"/>
      <w:r w:rsidR="00002E38" w:rsidRPr="00002E38">
        <w:rPr>
          <w:snapToGrid/>
          <w:szCs w:val="22"/>
          <w:lang w:eastAsia="en-GB"/>
        </w:rPr>
        <w:t xml:space="preserve">, </w:t>
      </w:r>
      <w:proofErr w:type="spellStart"/>
      <w:r w:rsidR="00002E38" w:rsidRPr="00002E38">
        <w:rPr>
          <w:szCs w:val="22"/>
        </w:rPr>
        <w:t>Yukarı</w:t>
      </w:r>
      <w:proofErr w:type="spellEnd"/>
      <w:r w:rsidR="00002E38" w:rsidRPr="00002E38">
        <w:rPr>
          <w:szCs w:val="22"/>
        </w:rPr>
        <w:t xml:space="preserve"> </w:t>
      </w:r>
      <w:proofErr w:type="spellStart"/>
      <w:r w:rsidR="00002E38" w:rsidRPr="00002E38">
        <w:rPr>
          <w:szCs w:val="22"/>
        </w:rPr>
        <w:t>Zaferiye</w:t>
      </w:r>
      <w:proofErr w:type="spellEnd"/>
      <w:r w:rsidR="00002E38" w:rsidRPr="00002E38">
        <w:rPr>
          <w:szCs w:val="22"/>
        </w:rPr>
        <w:t xml:space="preserve"> </w:t>
      </w:r>
      <w:proofErr w:type="spellStart"/>
      <w:r w:rsidR="00002E38" w:rsidRPr="00002E38">
        <w:rPr>
          <w:szCs w:val="22"/>
        </w:rPr>
        <w:t>Mahallesi</w:t>
      </w:r>
      <w:proofErr w:type="spellEnd"/>
      <w:r w:rsidR="00002E38" w:rsidRPr="00002E38">
        <w:rPr>
          <w:szCs w:val="22"/>
        </w:rPr>
        <w:t xml:space="preserve">, İlyas Bey Cad. No: 23 </w:t>
      </w:r>
      <w:proofErr w:type="spellStart"/>
      <w:r w:rsidR="00002E38" w:rsidRPr="00002E38">
        <w:rPr>
          <w:szCs w:val="22"/>
        </w:rPr>
        <w:t>Keşan</w:t>
      </w:r>
      <w:proofErr w:type="spellEnd"/>
      <w:r w:rsidR="00002E38" w:rsidRPr="00002E38">
        <w:rPr>
          <w:szCs w:val="22"/>
        </w:rPr>
        <w:t>, Edirne, postal code: 22800, Turkey</w:t>
      </w:r>
      <w:r w:rsidRPr="00002E38">
        <w:rPr>
          <w:snapToGrid/>
          <w:szCs w:val="22"/>
          <w:lang w:eastAsia="en-GB"/>
        </w:rPr>
        <w:br/>
        <w:t>E-mail</w:t>
      </w:r>
      <w:r w:rsidR="0098345A" w:rsidRPr="00002E38">
        <w:rPr>
          <w:snapToGrid/>
          <w:szCs w:val="22"/>
          <w:lang w:eastAsia="en-GB"/>
        </w:rPr>
        <w:t xml:space="preserve">: </w:t>
      </w:r>
      <w:r w:rsidR="00AE07F9" w:rsidRPr="00002E38">
        <w:rPr>
          <w:snapToGrid/>
          <w:szCs w:val="22"/>
          <w:lang w:eastAsia="en-GB"/>
        </w:rPr>
        <w:t>kulturisleri</w:t>
      </w:r>
      <w:r w:rsidR="0098345A" w:rsidRPr="00002E38">
        <w:rPr>
          <w:snapToGrid/>
          <w:szCs w:val="22"/>
          <w:lang w:eastAsia="en-GB"/>
        </w:rPr>
        <w:t>@kesan.bel.</w:t>
      </w:r>
      <w:r w:rsidR="004C19FA" w:rsidRPr="00002E38">
        <w:rPr>
          <w:snapToGrid/>
          <w:szCs w:val="22"/>
          <w:lang w:eastAsia="en-GB"/>
        </w:rPr>
        <w:t>tr</w:t>
      </w:r>
    </w:p>
    <w:p w14:paraId="41061AA0" w14:textId="77777777" w:rsidR="00F92CF4" w:rsidRPr="00A13C7E" w:rsidRDefault="00F92CF4" w:rsidP="00D2731E"/>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095A3D8D" w14:textId="50A5672C" w:rsidR="00043500" w:rsidRPr="002404A5" w:rsidRDefault="00043500" w:rsidP="00043500">
      <w:pPr>
        <w:pStyle w:val="Balk3"/>
        <w:spacing w:before="0"/>
        <w:ind w:left="720"/>
      </w:pPr>
      <w:bookmarkStart w:id="15" w:name="_Toc529523962"/>
      <w:r w:rsidRPr="002404A5">
        <w:t>The questions and answers will be published on the website of the contracting authority on</w:t>
      </w:r>
      <w:r w:rsidR="004C19FA">
        <w:t xml:space="preserve"> </w:t>
      </w:r>
      <w:hyperlink r:id="rId17" w:history="1">
        <w:r w:rsidR="00AE07F9" w:rsidRPr="00A93265">
          <w:rPr>
            <w:rStyle w:val="Kpr"/>
          </w:rPr>
          <w:t>https://www.kesan.bel.tr/</w:t>
        </w:r>
      </w:hyperlink>
      <w:r w:rsidR="00AE07F9">
        <w:t xml:space="preserve"> </w:t>
      </w:r>
      <w:r w:rsidR="00AE07F9" w:rsidRPr="00AE07F9">
        <w:t xml:space="preserve"> </w:t>
      </w:r>
      <w:r w:rsidRPr="002404A5">
        <w:t xml:space="preserve">and on the website of the Programme on </w:t>
      </w:r>
      <w:hyperlink r:id="rId18" w:history="1">
        <w:r w:rsidRPr="002404A5">
          <w:rPr>
            <w:rStyle w:val="Kpr"/>
          </w:rPr>
          <w:t>http://www.ipacbc-bgtr.eu/</w:t>
        </w:r>
      </w:hyperlink>
      <w:r w:rsidRPr="002404A5">
        <w:t xml:space="preserve">. </w:t>
      </w:r>
    </w:p>
    <w:p w14:paraId="357E4372" w14:textId="3635B5C4" w:rsidR="0068234B" w:rsidRDefault="0068234B">
      <w:pPr>
        <w:pStyle w:val="Balk2"/>
      </w:pPr>
      <w:r w:rsidRPr="00CF7668">
        <w:t>MODIFICATIONS O</w:t>
      </w:r>
      <w:r w:rsidR="002C5329">
        <w:t>F</w:t>
      </w:r>
      <w:r w:rsidRPr="00CF7668">
        <w:t xml:space="preserve"> TENDER DOCUMENTS</w:t>
      </w:r>
      <w:bookmarkEnd w:id="15"/>
    </w:p>
    <w:p w14:paraId="1A8DB5AA" w14:textId="2926A963" w:rsidR="00CF7668" w:rsidRPr="000F1C89" w:rsidRDefault="00CF7668" w:rsidP="00CF7668">
      <w:pPr>
        <w:pStyle w:val="Balk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5DFF061A" w14:textId="04648985" w:rsidR="00043500" w:rsidRPr="002B604F" w:rsidRDefault="00043500" w:rsidP="00043500">
      <w:pPr>
        <w:pStyle w:val="Balk3"/>
        <w:spacing w:before="0"/>
        <w:ind w:left="720"/>
      </w:pPr>
      <w:r w:rsidRPr="002B604F">
        <w:t>Each modification published will constitute a part of the tender on the website of the contracting authority on</w:t>
      </w:r>
      <w:r w:rsidR="00AE07F9">
        <w:t xml:space="preserve"> </w:t>
      </w:r>
      <w:hyperlink r:id="rId19" w:history="1">
        <w:r w:rsidR="00AE07F9" w:rsidRPr="00A93265">
          <w:rPr>
            <w:rStyle w:val="Kpr"/>
          </w:rPr>
          <w:t>https://www.kesan.bel.tr/</w:t>
        </w:r>
      </w:hyperlink>
      <w:r w:rsidR="00AE07F9">
        <w:t xml:space="preserve"> </w:t>
      </w:r>
      <w:r>
        <w:t xml:space="preserve"> </w:t>
      </w:r>
      <w:r w:rsidRPr="002B604F">
        <w:t xml:space="preserve">and on the website of the Programme on </w:t>
      </w:r>
      <w:hyperlink r:id="rId20" w:history="1">
        <w:r w:rsidRPr="002B604F">
          <w:rPr>
            <w:rStyle w:val="Kpr"/>
          </w:rPr>
          <w:t>http://www.ipacbc-bgtr.eu/</w:t>
        </w:r>
      </w:hyperlink>
      <w:r w:rsidRPr="002B604F">
        <w:t xml:space="preserve">. </w:t>
      </w:r>
    </w:p>
    <w:p w14:paraId="268619F6" w14:textId="77777777" w:rsidR="00CF7668" w:rsidRPr="000F1C89" w:rsidRDefault="00CF7668" w:rsidP="00CF7668">
      <w:pPr>
        <w:pStyle w:val="Balk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3A5D59" w:rsidRDefault="00CF7668" w:rsidP="00D2731E">
      <w:pPr>
        <w:pStyle w:val="Balk1"/>
        <w:numPr>
          <w:ilvl w:val="0"/>
          <w:numId w:val="0"/>
        </w:numPr>
        <w:ind w:left="432"/>
      </w:pPr>
      <w:r w:rsidRPr="000F1C89">
        <w:t>TENDER PREPARATION</w:t>
      </w:r>
    </w:p>
    <w:p w14:paraId="0A063CFF" w14:textId="45C52847" w:rsidR="00CF7668" w:rsidRPr="00CF7668" w:rsidRDefault="0068234B" w:rsidP="00D2731E">
      <w:pPr>
        <w:pStyle w:val="Balk2"/>
      </w:pPr>
      <w:bookmarkStart w:id="16" w:name="_Toc529523964"/>
      <w:r w:rsidRPr="00CF7668">
        <w:t>LANGUAGE OF TENDERS</w:t>
      </w:r>
      <w:bookmarkEnd w:id="16"/>
    </w:p>
    <w:p w14:paraId="7C03FEA9" w14:textId="1EE1832D" w:rsidR="00CF7668" w:rsidRPr="00CF7668" w:rsidRDefault="0068234B">
      <w:pPr>
        <w:pStyle w:val="Balk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pPr>
        <w:pStyle w:val="Balk3"/>
        <w:ind w:left="720"/>
      </w:pPr>
      <w:r w:rsidRPr="00CF7668">
        <w:lastRenderedPageBreak/>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xml:space="preserve">, it is strongly recommended to provide a translation into the language of the call for tenders, </w:t>
      </w:r>
      <w:proofErr w:type="gramStart"/>
      <w:r w:rsidRPr="00CF7668">
        <w:t>in order to</w:t>
      </w:r>
      <w:proofErr w:type="gramEnd"/>
      <w:r w:rsidRPr="00CF7668">
        <w:t xml:space="preserve"> facilitate the evaluation of the documents.</w:t>
      </w:r>
    </w:p>
    <w:p w14:paraId="0F219FA6" w14:textId="4C72097F" w:rsidR="0068234B" w:rsidRPr="000F1C89" w:rsidRDefault="00224FA5" w:rsidP="008C49BA">
      <w:pPr>
        <w:pStyle w:val="Balk2"/>
      </w:pPr>
      <w:bookmarkStart w:id="17" w:name="_Toc529523965"/>
      <w:r>
        <w:t xml:space="preserve"> </w:t>
      </w:r>
      <w:r w:rsidR="0068234B" w:rsidRPr="000F1C89">
        <w:t>CONTENT AND PRESENTATION OF TENDER</w:t>
      </w:r>
      <w:bookmarkEnd w:id="17"/>
    </w:p>
    <w:p w14:paraId="17F65223" w14:textId="77777777" w:rsidR="0068234B" w:rsidRPr="000F1C89" w:rsidRDefault="0068234B" w:rsidP="000A7BE8">
      <w:pPr>
        <w:pStyle w:val="Balk3"/>
        <w:ind w:left="720"/>
      </w:pPr>
      <w:r w:rsidRPr="000F1C89">
        <w:t>Tenders must satisfy the following conditions:</w:t>
      </w:r>
    </w:p>
    <w:p w14:paraId="5FB9D058" w14:textId="77777777" w:rsidR="0068234B" w:rsidRPr="000F1C89" w:rsidRDefault="0068234B" w:rsidP="001D55A9">
      <w:pPr>
        <w:pStyle w:val="Balk4"/>
      </w:pPr>
      <w:r w:rsidRPr="000F1C89">
        <w:t xml:space="preserve">Tenders must comprise the documents and information in </w:t>
      </w:r>
      <w:r w:rsidR="007B2220">
        <w:t>C</w:t>
      </w:r>
      <w:r w:rsidRPr="000F1C89">
        <w:t>lause 12 below.</w:t>
      </w:r>
    </w:p>
    <w:p w14:paraId="767AB2AE" w14:textId="77777777" w:rsidR="0068234B" w:rsidRPr="000F1C89" w:rsidRDefault="0068234B" w:rsidP="00662136">
      <w:pPr>
        <w:pStyle w:val="Balk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14:paraId="5C25C0EF" w14:textId="77777777" w:rsidR="0068234B" w:rsidRPr="000F1C89" w:rsidRDefault="0068234B" w:rsidP="001D55A9">
      <w:pPr>
        <w:pStyle w:val="Balk4"/>
      </w:pPr>
      <w:r w:rsidRPr="000F1C89">
        <w:t xml:space="preserve">The relevant pages of the documents specified in </w:t>
      </w:r>
      <w:r w:rsidR="007B2220">
        <w:t>C</w:t>
      </w:r>
      <w:r w:rsidRPr="000F1C89">
        <w:t>lause 12 must be signed as indicated.</w:t>
      </w:r>
    </w:p>
    <w:p w14:paraId="2F677741" w14:textId="77777777" w:rsidR="0068234B" w:rsidRPr="000F1C89" w:rsidRDefault="0068234B" w:rsidP="001D55A9">
      <w:pPr>
        <w:pStyle w:val="Balk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2F56B7B4" w14:textId="0487089F" w:rsidR="006072A7" w:rsidRPr="00AE07F9" w:rsidRDefault="0068234B" w:rsidP="000A7BE8">
      <w:pPr>
        <w:pStyle w:val="Balk3"/>
        <w:ind w:left="720"/>
      </w:pPr>
      <w:r w:rsidRPr="00AE07F9">
        <w:t>The works are not divided into lots</w:t>
      </w:r>
      <w:r w:rsidR="006072A7" w:rsidRPr="00AE07F9">
        <w:t>. Tenders must be for all the quantities indicated</w:t>
      </w:r>
      <w:r w:rsidRPr="00AE07F9">
        <w:t>.</w:t>
      </w:r>
    </w:p>
    <w:p w14:paraId="7B86ACCB" w14:textId="77777777" w:rsidR="0068234B" w:rsidRPr="000F1C89" w:rsidRDefault="0068234B" w:rsidP="008C49BA">
      <w:pPr>
        <w:pStyle w:val="Balk2"/>
      </w:pPr>
      <w:bookmarkStart w:id="18" w:name="_Toc529523966"/>
      <w:r w:rsidRPr="000F1C89">
        <w:t>INFORMATION/DOCUMENTS TO BE SUPPLIED BY THE TENDERER</w:t>
      </w:r>
      <w:bookmarkEnd w:id="18"/>
    </w:p>
    <w:p w14:paraId="28251760" w14:textId="77777777" w:rsidR="0068234B" w:rsidRPr="000F1C89" w:rsidRDefault="0068234B" w:rsidP="000A7BE8">
      <w:pPr>
        <w:pStyle w:val="Balk3"/>
        <w:ind w:left="720"/>
      </w:pPr>
      <w:r w:rsidRPr="000F1C89">
        <w:t>All tender</w:t>
      </w:r>
      <w:r w:rsidR="00664730" w:rsidRPr="000F1C89">
        <w:t>s</w:t>
      </w:r>
      <w:r w:rsidRPr="000F1C89">
        <w:t xml:space="preserve"> must comprise the following information and duly completed documents:</w:t>
      </w:r>
    </w:p>
    <w:p w14:paraId="75DD84F3" w14:textId="171FD7ED" w:rsidR="0018272A" w:rsidRDefault="0068234B" w:rsidP="001D55A9">
      <w:pPr>
        <w:pStyle w:val="Balk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DipnotBavurusu"/>
        </w:rPr>
        <w:footnoteReference w:id="1"/>
      </w:r>
      <w:r w:rsidR="00983665" w:rsidRPr="000F1C89">
        <w:t xml:space="preserve"> </w:t>
      </w:r>
    </w:p>
    <w:p w14:paraId="0CF2B178" w14:textId="1CC20CC5" w:rsidR="0068234B" w:rsidRPr="000F1C89" w:rsidRDefault="0068234B" w:rsidP="00043500">
      <w:pPr>
        <w:snapToGrid w:val="0"/>
        <w:spacing w:before="120"/>
        <w:ind w:left="1134"/>
      </w:pPr>
      <w:r w:rsidRPr="000F1C89">
        <w:t xml:space="preserve">Documentation as required in the questionnaire in Volume 1, Section 4, including all forms </w:t>
      </w:r>
      <w:proofErr w:type="gramStart"/>
      <w:r w:rsidRPr="000F1C89">
        <w:t>attached;</w:t>
      </w:r>
      <w:proofErr w:type="gramEnd"/>
    </w:p>
    <w:p w14:paraId="558F031D" w14:textId="77777777" w:rsidR="0068234B" w:rsidRPr="000F1C89" w:rsidRDefault="0068234B" w:rsidP="001D55A9">
      <w:pPr>
        <w:pStyle w:val="Balk4"/>
      </w:pPr>
      <w:r w:rsidRPr="000F1C89">
        <w:t>The forms provided in Volume 4:</w:t>
      </w:r>
    </w:p>
    <w:p w14:paraId="31468B7B" w14:textId="77777777" w:rsidR="0068234B" w:rsidRPr="00370CE8" w:rsidRDefault="0068234B" w:rsidP="00E97DD1">
      <w:pPr>
        <w:ind w:left="1134" w:firstLine="720"/>
        <w:rPr>
          <w:szCs w:val="22"/>
        </w:rPr>
      </w:pPr>
      <w:r w:rsidRPr="00370CE8">
        <w:rPr>
          <w:szCs w:val="22"/>
        </w:rPr>
        <w:t xml:space="preserve">Volume 4.3.2 </w:t>
      </w:r>
      <w:r w:rsidR="00E725FE" w:rsidRPr="00370CE8">
        <w:rPr>
          <w:szCs w:val="22"/>
        </w:rPr>
        <w:t>—</w:t>
      </w:r>
      <w:r w:rsidRPr="00370CE8">
        <w:rPr>
          <w:szCs w:val="22"/>
        </w:rPr>
        <w:t xml:space="preserve"> Bill of </w:t>
      </w:r>
      <w:proofErr w:type="gramStart"/>
      <w:r w:rsidR="00EB7A64" w:rsidRPr="00370CE8">
        <w:rPr>
          <w:szCs w:val="22"/>
        </w:rPr>
        <w:t>q</w:t>
      </w:r>
      <w:r w:rsidRPr="00370CE8">
        <w:rPr>
          <w:szCs w:val="22"/>
        </w:rPr>
        <w:t>uantities;</w:t>
      </w:r>
      <w:proofErr w:type="gramEnd"/>
    </w:p>
    <w:p w14:paraId="7A61B40A" w14:textId="77777777" w:rsidR="0068234B" w:rsidRPr="00370CE8" w:rsidRDefault="0068234B" w:rsidP="00E97DD1">
      <w:pPr>
        <w:ind w:left="1134" w:firstLine="720"/>
        <w:rPr>
          <w:szCs w:val="22"/>
        </w:rPr>
      </w:pPr>
      <w:r w:rsidRPr="00370CE8">
        <w:rPr>
          <w:szCs w:val="22"/>
        </w:rPr>
        <w:t xml:space="preserve">Volume 4.3.3 </w:t>
      </w:r>
      <w:r w:rsidR="00E725FE" w:rsidRPr="00370CE8">
        <w:rPr>
          <w:szCs w:val="22"/>
        </w:rPr>
        <w:t>—</w:t>
      </w:r>
      <w:r w:rsidRPr="00370CE8">
        <w:rPr>
          <w:szCs w:val="22"/>
        </w:rPr>
        <w:t xml:space="preserve"> Price </w:t>
      </w:r>
      <w:proofErr w:type="gramStart"/>
      <w:r w:rsidR="00EB7A64" w:rsidRPr="00370CE8">
        <w:rPr>
          <w:szCs w:val="22"/>
        </w:rPr>
        <w:t>s</w:t>
      </w:r>
      <w:r w:rsidRPr="00370CE8">
        <w:rPr>
          <w:szCs w:val="22"/>
        </w:rPr>
        <w:t>chedule;</w:t>
      </w:r>
      <w:proofErr w:type="gramEnd"/>
    </w:p>
    <w:p w14:paraId="7FED1C3C" w14:textId="77777777" w:rsidR="0068234B" w:rsidRPr="000F1C89" w:rsidRDefault="0068234B" w:rsidP="001D55A9">
      <w:pPr>
        <w:pStyle w:val="Balk5"/>
        <w:ind w:left="2410"/>
      </w:pPr>
      <w:r w:rsidRPr="000F1C89">
        <w:t xml:space="preserve">The prices in Volume 4 are deemed to have been </w:t>
      </w:r>
      <w:r w:rsidR="005346CE" w:rsidRPr="000F1C89">
        <w:t>set</w:t>
      </w:r>
      <w:r w:rsidRPr="000F1C89">
        <w:t xml:space="preserve"> </w:t>
      </w:r>
      <w:proofErr w:type="gramStart"/>
      <w:r w:rsidRPr="000F1C89">
        <w:t>on the basis of</w:t>
      </w:r>
      <w:proofErr w:type="gramEnd"/>
      <w:r w:rsidRPr="000F1C89">
        <w:t xml:space="preserve"> the conditions in force 30 days prior to the </w:t>
      </w:r>
      <w:r w:rsidR="005346CE" w:rsidRPr="000F1C89">
        <w:t>deadline</w:t>
      </w:r>
      <w:r w:rsidRPr="000F1C89">
        <w:t xml:space="preserve"> for submi</w:t>
      </w:r>
      <w:r w:rsidR="005346CE" w:rsidRPr="000F1C89">
        <w:t>tting</w:t>
      </w:r>
      <w:r w:rsidRPr="000F1C89">
        <w:t xml:space="preserve"> tenders.</w:t>
      </w:r>
    </w:p>
    <w:p w14:paraId="466134F0" w14:textId="4D21085E" w:rsidR="0068234B" w:rsidRPr="000F1C89" w:rsidRDefault="0068234B" w:rsidP="001D55A9">
      <w:pPr>
        <w:ind w:left="2410"/>
      </w:pPr>
      <w:r w:rsidRPr="000F1C89">
        <w:t xml:space="preserve">The </w:t>
      </w:r>
      <w:r w:rsidR="00EB7A64">
        <w:t>d</w:t>
      </w:r>
      <w:r w:rsidRPr="000F1C89">
        <w:t xml:space="preserve">etailed </w:t>
      </w:r>
      <w:r w:rsidR="00EB7A64">
        <w:t>b</w:t>
      </w:r>
      <w:r w:rsidRPr="000F1C89">
        <w:t xml:space="preserve">reakdown of </w:t>
      </w:r>
      <w:r w:rsidR="00EB7A64">
        <w:t>p</w:t>
      </w:r>
      <w:r w:rsidRPr="000F1C89">
        <w:t xml:space="preserve">rices </w:t>
      </w:r>
      <w:r w:rsidR="004305FD" w:rsidRPr="000F1C89">
        <w:t>must</w:t>
      </w:r>
      <w:r w:rsidRPr="000F1C89">
        <w:t xml:space="preserve"> be used when required for any purpose under the contract, notably to provide the coefficients for appl</w:t>
      </w:r>
      <w:r w:rsidR="005346CE" w:rsidRPr="000F1C89">
        <w:t>ying</w:t>
      </w:r>
      <w:r w:rsidRPr="000F1C89">
        <w:t xml:space="preserve"> the price revision formula referred to in </w:t>
      </w:r>
      <w:r w:rsidR="005346CE" w:rsidRPr="000F1C89">
        <w:t>A</w:t>
      </w:r>
      <w:r w:rsidRPr="000F1C89">
        <w:t xml:space="preserve">rticle 48.2 of the </w:t>
      </w:r>
      <w:r w:rsidR="00EB7A64">
        <w:t>s</w:t>
      </w:r>
      <w:r w:rsidRPr="000F1C89">
        <w:t xml:space="preserve">pecial </w:t>
      </w:r>
      <w:r w:rsidR="00EB7A64">
        <w:t>c</w:t>
      </w:r>
      <w:r w:rsidRPr="000F1C89">
        <w:t xml:space="preserve">onditions. </w:t>
      </w:r>
      <w:r w:rsidR="00567DC1" w:rsidRPr="000F1C89">
        <w:rPr>
          <w:szCs w:val="22"/>
        </w:rPr>
        <w:lastRenderedPageBreak/>
        <w:t xml:space="preserve">The tenderer must provide clear arithmetical calculations for the proposed coefficients. </w:t>
      </w:r>
    </w:p>
    <w:p w14:paraId="1A38C0DE" w14:textId="77777777" w:rsidR="0068234B" w:rsidRPr="000F1C89" w:rsidRDefault="003C1679" w:rsidP="001D55A9">
      <w:pPr>
        <w:pStyle w:val="Balk4"/>
      </w:pPr>
      <w:r w:rsidRPr="000F1C89">
        <w:t>Cash flow</w:t>
      </w:r>
      <w:r w:rsidR="0068234B" w:rsidRPr="000F1C89">
        <w:t xml:space="preserve"> statements</w:t>
      </w:r>
      <w:r w:rsidR="00C6617E">
        <w:t xml:space="preserve"> as part of the financial statement form (Form 4.4)</w:t>
      </w:r>
      <w:r w:rsidR="005346CE" w:rsidRPr="000F1C89">
        <w:t>.</w:t>
      </w:r>
    </w:p>
    <w:p w14:paraId="0E4BCAC9" w14:textId="77777777" w:rsidR="0068234B" w:rsidRPr="000F1C89" w:rsidRDefault="0068234B" w:rsidP="001D55A9">
      <w:pPr>
        <w:pStyle w:val="Balk4"/>
      </w:pPr>
      <w:r w:rsidRPr="000F1C89">
        <w:t xml:space="preserve">Copies of the most recent documents showing the organisation chart, legal </w:t>
      </w:r>
      <w:proofErr w:type="gramStart"/>
      <w:r w:rsidRPr="000F1C89">
        <w:t>status</w:t>
      </w:r>
      <w:proofErr w:type="gramEnd"/>
      <w:r w:rsidRPr="000F1C89">
        <w:t xml:space="preserve">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14:paraId="3894BCC6" w14:textId="77777777" w:rsidR="00AE0CD4" w:rsidRPr="000F1C89" w:rsidRDefault="0068234B" w:rsidP="00BB3EB3">
      <w:pPr>
        <w:numPr>
          <w:ilvl w:val="0"/>
          <w:numId w:val="6"/>
        </w:numPr>
        <w:ind w:left="2552"/>
      </w:pPr>
      <w:r w:rsidRPr="000F1C89">
        <w:t>general information about the tenderer (Form 4.1)</w:t>
      </w:r>
    </w:p>
    <w:p w14:paraId="3D1AD6B7" w14:textId="77777777" w:rsidR="0068234B" w:rsidRPr="000F1C89" w:rsidRDefault="0068234B" w:rsidP="00BB3EB3">
      <w:pPr>
        <w:numPr>
          <w:ilvl w:val="0"/>
          <w:numId w:val="6"/>
        </w:numPr>
        <w:ind w:left="2552"/>
      </w:pPr>
      <w:r w:rsidRPr="000F1C89">
        <w:t>organisation chart (Form 4.2)</w:t>
      </w:r>
    </w:p>
    <w:p w14:paraId="49ABFBB4" w14:textId="77777777" w:rsidR="0068234B" w:rsidRPr="000F1C89" w:rsidRDefault="0068234B" w:rsidP="00BB3EB3">
      <w:pPr>
        <w:numPr>
          <w:ilvl w:val="0"/>
          <w:numId w:val="6"/>
        </w:numPr>
        <w:ind w:left="2552"/>
      </w:pPr>
      <w:r w:rsidRPr="000F1C89">
        <w:t>power of attorney (Form 4.3).</w:t>
      </w:r>
    </w:p>
    <w:p w14:paraId="65E3FE55" w14:textId="77777777" w:rsidR="0068234B" w:rsidRPr="000F1C89" w:rsidRDefault="0068234B" w:rsidP="001D55A9">
      <w:pPr>
        <w:pStyle w:val="Balk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14:paraId="76A0E9D4" w14:textId="77777777" w:rsidR="0068234B" w:rsidRPr="000F1C89" w:rsidRDefault="0068234B" w:rsidP="001D55A9">
      <w:pPr>
        <w:pStyle w:val="Balk4"/>
      </w:pPr>
      <w:r w:rsidRPr="000F1C89">
        <w:t>Financial projections for the two years ahead. This information must follow Form 4.4, Financial statement, provided in accordance with Volume 1, Section 4 of the tender documents.</w:t>
      </w:r>
    </w:p>
    <w:p w14:paraId="163759E3" w14:textId="77777777" w:rsidR="0068234B" w:rsidRPr="000F1C89" w:rsidRDefault="0068234B" w:rsidP="001D55A9">
      <w:pPr>
        <w:pStyle w:val="Balk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14:paraId="64801448" w14:textId="77777777" w:rsidR="0068234B" w:rsidRPr="000F1C89" w:rsidRDefault="0068234B" w:rsidP="001D55A9">
      <w:pPr>
        <w:pStyle w:val="Balk4"/>
      </w:pPr>
      <w:r w:rsidRPr="000F1C89">
        <w:t>Information about the tenderer</w:t>
      </w:r>
      <w:r w:rsidR="00E725FE" w:rsidRPr="000F1C89">
        <w:t>’</w:t>
      </w:r>
      <w:r w:rsidRPr="000F1C89">
        <w:t>s technical qualifications. This information must follow the forms in Volume 1, Section 4 of the tender documents and include:</w:t>
      </w:r>
    </w:p>
    <w:p w14:paraId="2096FE8D" w14:textId="398560CE" w:rsidR="0068234B" w:rsidRPr="000F1C89" w:rsidRDefault="0068234B" w:rsidP="00BB3EB3">
      <w:pPr>
        <w:numPr>
          <w:ilvl w:val="0"/>
          <w:numId w:val="6"/>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rsidP="00BB3EB3">
      <w:pPr>
        <w:numPr>
          <w:ilvl w:val="0"/>
          <w:numId w:val="6"/>
        </w:numPr>
        <w:ind w:left="2552"/>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rsidP="00BB3EB3">
      <w:pPr>
        <w:numPr>
          <w:ilvl w:val="0"/>
          <w:numId w:val="6"/>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6A46489C" w14:textId="361FCE1B" w:rsidR="0068234B" w:rsidRPr="002E052E" w:rsidRDefault="002E052E" w:rsidP="00BB3EB3">
      <w:pPr>
        <w:numPr>
          <w:ilvl w:val="0"/>
          <w:numId w:val="7"/>
        </w:numPr>
        <w:spacing w:after="0"/>
        <w:ind w:left="2977" w:hanging="357"/>
      </w:pPr>
      <w:r w:rsidRPr="002E052E">
        <w:t xml:space="preserve">Not applicable </w:t>
      </w:r>
    </w:p>
    <w:p w14:paraId="2FD7382E" w14:textId="77777777" w:rsidR="0068234B" w:rsidRPr="002E052E" w:rsidRDefault="0068234B" w:rsidP="00B67C5C">
      <w:pPr>
        <w:ind w:left="1985"/>
      </w:pPr>
      <w:r w:rsidRPr="000F1C89">
        <w:t xml:space="preserve">The tenderer must indicate whether </w:t>
      </w:r>
      <w:r w:rsidR="00DF4416" w:rsidRPr="000F1C89">
        <w:t>this</w:t>
      </w:r>
      <w:r w:rsidRPr="000F1C89">
        <w:t xml:space="preserve"> equipment is owned, </w:t>
      </w:r>
      <w:proofErr w:type="gramStart"/>
      <w:r w:rsidRPr="000F1C89">
        <w:t>hired</w:t>
      </w:r>
      <w:proofErr w:type="gramEnd"/>
      <w:r w:rsidRPr="000F1C89">
        <w:t xml:space="preserve"> or used by a subcontractor. Manufacturer</w:t>
      </w:r>
      <w:r w:rsidR="00E725FE" w:rsidRPr="000F1C89">
        <w:t>’</w:t>
      </w:r>
      <w:r w:rsidRPr="000F1C89">
        <w:t xml:space="preserve">s documents fully describing the equipment must be submitted </w:t>
      </w:r>
      <w:r w:rsidRPr="002E052E">
        <w:t>with the tender (Form 4.6.2</w:t>
      </w:r>
      <w:proofErr w:type="gramStart"/>
      <w:r w:rsidRPr="002E052E">
        <w:t>);</w:t>
      </w:r>
      <w:proofErr w:type="gramEnd"/>
    </w:p>
    <w:p w14:paraId="6E9304F0" w14:textId="1FBFD0AF" w:rsidR="0068234B" w:rsidRPr="002E052E" w:rsidRDefault="0068234B" w:rsidP="00BB3EB3">
      <w:pPr>
        <w:numPr>
          <w:ilvl w:val="0"/>
          <w:numId w:val="6"/>
        </w:numPr>
        <w:ind w:left="2552"/>
      </w:pPr>
      <w:r w:rsidRPr="002E052E">
        <w:t>a list of materials and any supplies intended for use in the works,</w:t>
      </w:r>
      <w:r w:rsidR="00B30328" w:rsidRPr="002E052E">
        <w:t xml:space="preserve"> </w:t>
      </w:r>
      <w:r w:rsidRPr="002E052E">
        <w:t xml:space="preserve">stating their </w:t>
      </w:r>
      <w:proofErr w:type="gramStart"/>
      <w:r w:rsidRPr="002E052E">
        <w:t>origin;</w:t>
      </w:r>
      <w:proofErr w:type="gramEnd"/>
    </w:p>
    <w:p w14:paraId="19316F4A" w14:textId="5DE4986F" w:rsidR="0068234B" w:rsidRPr="000F1C89" w:rsidRDefault="0068234B" w:rsidP="00BB3EB3">
      <w:pPr>
        <w:numPr>
          <w:ilvl w:val="0"/>
          <w:numId w:val="6"/>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w:t>
      </w:r>
      <w:r w:rsidRPr="000F1C89">
        <w:lastRenderedPageBreak/>
        <w:t xml:space="preserve">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w:t>
      </w:r>
      <w:proofErr w:type="gramStart"/>
      <w:r w:rsidRPr="000F1C89">
        <w:t>by which</w:t>
      </w:r>
      <w:proofErr w:type="gramEnd"/>
      <w:r w:rsidRPr="000F1C89">
        <w:t xml:space="preserve">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t>
      </w:r>
      <w:proofErr w:type="gramStart"/>
      <w:r w:rsidRPr="000F1C89">
        <w:t>work;</w:t>
      </w:r>
      <w:proofErr w:type="gramEnd"/>
    </w:p>
    <w:p w14:paraId="1887265A" w14:textId="77777777" w:rsidR="0068234B" w:rsidRPr="000F1C89" w:rsidRDefault="0068234B" w:rsidP="00BB3EB3">
      <w:pPr>
        <w:numPr>
          <w:ilvl w:val="0"/>
          <w:numId w:val="6"/>
        </w:numPr>
        <w:ind w:left="2552"/>
      </w:pPr>
      <w:r w:rsidRPr="000F1C89">
        <w:t>a critical milestone bar chart showing times and duties allocated for employees for this contract (Form 4.6.3</w:t>
      </w:r>
      <w:proofErr w:type="gramStart"/>
      <w:r w:rsidRPr="000F1C89">
        <w:t>);</w:t>
      </w:r>
      <w:proofErr w:type="gramEnd"/>
    </w:p>
    <w:p w14:paraId="13D71494" w14:textId="77777777" w:rsidR="0068234B" w:rsidRPr="000F1C89" w:rsidRDefault="0068234B" w:rsidP="00BB3EB3">
      <w:pPr>
        <w:numPr>
          <w:ilvl w:val="0"/>
          <w:numId w:val="6"/>
        </w:numPr>
        <w:ind w:left="2552"/>
      </w:pPr>
      <w:r w:rsidRPr="000F1C89">
        <w:t xml:space="preserve">data </w:t>
      </w:r>
      <w:r w:rsidR="00CB0002" w:rsidRPr="000F1C89">
        <w:t>on</w:t>
      </w:r>
      <w:r w:rsidRPr="000F1C89">
        <w:t xml:space="preserve"> subcontractors and the percentage of works to be subcontracted (Form 4.6.3</w:t>
      </w:r>
      <w:proofErr w:type="gramStart"/>
      <w:r w:rsidRPr="000F1C89">
        <w:t>);</w:t>
      </w:r>
      <w:proofErr w:type="gramEnd"/>
    </w:p>
    <w:p w14:paraId="3D3D28FD" w14:textId="6FCD644F" w:rsidR="0068234B" w:rsidRPr="000F1C89" w:rsidRDefault="0068234B" w:rsidP="00BB3EB3">
      <w:pPr>
        <w:numPr>
          <w:ilvl w:val="0"/>
          <w:numId w:val="6"/>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construction of at least </w:t>
      </w:r>
      <w:r w:rsidR="002E052E">
        <w:t>1 project/contract/activity for works</w:t>
      </w:r>
      <w:r w:rsidRPr="000F1C89">
        <w:t xml:space="preserve"> of the same nature and complexity comparable to the works concerned by the tender during the </w:t>
      </w:r>
      <w:r w:rsidRPr="002E052E">
        <w:t xml:space="preserve">last </w:t>
      </w:r>
      <w:r w:rsidR="00916803" w:rsidRPr="002E052E">
        <w:t>five</w:t>
      </w:r>
      <w:r w:rsidRPr="002E052E">
        <w:t xml:space="preserve"> </w:t>
      </w:r>
      <w:proofErr w:type="gramStart"/>
      <w:r w:rsidRPr="002E052E">
        <w:t>years</w:t>
      </w:r>
      <w:r w:rsidRPr="000F1C89">
        <w:t>;</w:t>
      </w:r>
      <w:proofErr w:type="gramEnd"/>
    </w:p>
    <w:p w14:paraId="6E5A46BA" w14:textId="77777777" w:rsidR="0068234B" w:rsidRPr="000F1C89" w:rsidRDefault="0068234B" w:rsidP="00BB3EB3">
      <w:pPr>
        <w:numPr>
          <w:ilvl w:val="0"/>
          <w:numId w:val="6"/>
        </w:numPr>
        <w:ind w:left="2552"/>
      </w:pPr>
      <w:r w:rsidRPr="000F1C89">
        <w:t>information regarding the proposed main site office (Form 4.6.3</w:t>
      </w:r>
      <w:proofErr w:type="gramStart"/>
      <w:r w:rsidRPr="000F1C89">
        <w:t>);</w:t>
      </w:r>
      <w:proofErr w:type="gramEnd"/>
    </w:p>
    <w:p w14:paraId="18583F17" w14:textId="77777777" w:rsidR="0068234B" w:rsidRPr="000F1C89" w:rsidRDefault="0068234B" w:rsidP="00BB3EB3">
      <w:pPr>
        <w:numPr>
          <w:ilvl w:val="0"/>
          <w:numId w:val="6"/>
        </w:numPr>
        <w:ind w:left="2552"/>
      </w:pPr>
      <w:r w:rsidRPr="000F1C89">
        <w:t>an outline of the quality assurance system(s) to be used (Form 4.6.7).</w:t>
      </w:r>
    </w:p>
    <w:p w14:paraId="0C791007" w14:textId="77777777" w:rsidR="0068234B" w:rsidRPr="000F1C89" w:rsidRDefault="0068234B" w:rsidP="00BB3EB3">
      <w:pPr>
        <w:numPr>
          <w:ilvl w:val="0"/>
          <w:numId w:val="6"/>
        </w:numPr>
        <w:ind w:left="2552"/>
      </w:pPr>
      <w:r w:rsidRPr="000F1C89">
        <w:t xml:space="preserve">if applicable, information </w:t>
      </w:r>
      <w:r w:rsidR="00CB0002" w:rsidRPr="000F1C89">
        <w:t>on</w:t>
      </w:r>
      <w:r w:rsidRPr="000F1C89">
        <w:t xml:space="preserve"> tenderers involved in a joint venture/consortium (Form 4.6.5</w:t>
      </w:r>
      <w:proofErr w:type="gramStart"/>
      <w:r w:rsidRPr="000F1C89">
        <w:t>);</w:t>
      </w:r>
      <w:proofErr w:type="gramEnd"/>
    </w:p>
    <w:p w14:paraId="1B6898A3" w14:textId="6AE6A2E5" w:rsidR="0068234B" w:rsidRPr="000F1C89" w:rsidRDefault="0068234B" w:rsidP="00BB3EB3">
      <w:pPr>
        <w:numPr>
          <w:ilvl w:val="0"/>
          <w:numId w:val="6"/>
        </w:numPr>
        <w:ind w:left="2552"/>
      </w:pPr>
      <w:r w:rsidRPr="000F1C89">
        <w:t xml:space="preserve">details of their litigation history over the last </w:t>
      </w:r>
      <w:r w:rsidR="002E052E">
        <w:t>5</w:t>
      </w:r>
      <w:r w:rsidRPr="000F1C89">
        <w:t xml:space="preserve"> years (Form 4.6.6</w:t>
      </w:r>
      <w:proofErr w:type="gramStart"/>
      <w:r w:rsidRPr="000F1C89">
        <w:t>);</w:t>
      </w:r>
      <w:proofErr w:type="gramEnd"/>
    </w:p>
    <w:p w14:paraId="16B4729E" w14:textId="77777777" w:rsidR="0068234B" w:rsidRPr="000F1C89" w:rsidRDefault="0068234B" w:rsidP="00BB3EB3">
      <w:pPr>
        <w:numPr>
          <w:ilvl w:val="0"/>
          <w:numId w:val="6"/>
        </w:numPr>
        <w:ind w:left="2552"/>
      </w:pPr>
      <w:r w:rsidRPr="000F1C89">
        <w:t>details of the accommodation and facilities to be provided for the Supervisor (Form 4.6.8</w:t>
      </w:r>
      <w:proofErr w:type="gramStart"/>
      <w:r w:rsidRPr="000F1C89">
        <w:t>);</w:t>
      </w:r>
      <w:proofErr w:type="gramEnd"/>
    </w:p>
    <w:p w14:paraId="239DE33A" w14:textId="77777777" w:rsidR="0068234B" w:rsidRPr="000F1C89" w:rsidRDefault="0068234B" w:rsidP="00BB3EB3">
      <w:pPr>
        <w:numPr>
          <w:ilvl w:val="0"/>
          <w:numId w:val="6"/>
        </w:numPr>
        <w:ind w:left="2552"/>
      </w:pPr>
      <w:r w:rsidRPr="000F1C89">
        <w:t>any other information (Form 4.6.9).</w:t>
      </w:r>
    </w:p>
    <w:p w14:paraId="7B22FB03" w14:textId="25B8D4C2" w:rsidR="0068234B" w:rsidRPr="000F1C89" w:rsidRDefault="0068234B" w:rsidP="001D55A9">
      <w:pPr>
        <w:pStyle w:val="Balk4"/>
      </w:pPr>
      <w:r w:rsidRPr="000F1C89">
        <w:t xml:space="preserve">Proof documents, </w:t>
      </w:r>
      <w:proofErr w:type="gramStart"/>
      <w:r w:rsidRPr="000F1C89">
        <w:t>declarations</w:t>
      </w:r>
      <w:proofErr w:type="gramEnd"/>
      <w:r w:rsidRPr="000F1C89">
        <w:t xml:space="preserve">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14:paraId="19F1C604" w14:textId="5E29AD44" w:rsidR="00B93D82" w:rsidRDefault="00B93D82" w:rsidP="00A636AA">
      <w:pPr>
        <w:pStyle w:val="Balk4"/>
      </w:pPr>
    </w:p>
    <w:p w14:paraId="02A0CF98" w14:textId="77777777" w:rsidR="0093784E" w:rsidRDefault="0093784E" w:rsidP="0093784E">
      <w:pPr>
        <w:pStyle w:val="Balk4"/>
        <w:numPr>
          <w:ilvl w:val="0"/>
          <w:numId w:val="0"/>
        </w:numPr>
        <w:spacing w:before="0"/>
        <w:ind w:left="1134"/>
      </w:pPr>
      <w:r w:rsidRPr="000F1C89">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t xml:space="preserve">the Additional information about the Contract Notice (Annex A5f). </w:t>
      </w:r>
    </w:p>
    <w:p w14:paraId="26510771" w14:textId="6E48ADC4" w:rsidR="0093784E" w:rsidRPr="000F1C89" w:rsidRDefault="0093784E" w:rsidP="0093784E">
      <w:pPr>
        <w:pStyle w:val="Balk4"/>
        <w:numPr>
          <w:ilvl w:val="0"/>
          <w:numId w:val="0"/>
        </w:numPr>
        <w:spacing w:before="0"/>
        <w:ind w:left="1134"/>
      </w:pPr>
      <w:r w:rsidRPr="000F1C89">
        <w:t xml:space="preserve">For these purposes, </w:t>
      </w:r>
      <w:r>
        <w:t>"</w:t>
      </w:r>
      <w:r w:rsidRPr="000F1C89">
        <w:t>origin</w:t>
      </w:r>
      <w:r>
        <w:t>"</w:t>
      </w:r>
      <w:r w:rsidRPr="000F1C89">
        <w:t xml:space="preserve"> means the place where the goods are mined, grown, </w:t>
      </w:r>
      <w:proofErr w:type="gramStart"/>
      <w:r w:rsidRPr="000F1C89">
        <w:t>produced</w:t>
      </w:r>
      <w:proofErr w:type="gramEnd"/>
      <w:r w:rsidRPr="000F1C89">
        <w:t xml:space="preserve">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w:t>
      </w:r>
      <w:proofErr w:type="gramStart"/>
      <w:r w:rsidRPr="000F1C89">
        <w:t>Articles</w:t>
      </w:r>
      <w:proofErr w:type="gramEnd"/>
      <w:r w:rsidRPr="000F1C89">
        <w:t xml:space="preserve"> 22 to 26 thereof, and the Code's implementing provisions (Commission Regulation (EEC) No 2454/93.</w:t>
      </w:r>
    </w:p>
    <w:p w14:paraId="7FE8F020" w14:textId="77777777" w:rsidR="0093784E" w:rsidRPr="0093784E" w:rsidRDefault="0093784E" w:rsidP="0093784E">
      <w:pPr>
        <w:ind w:left="0"/>
      </w:pPr>
    </w:p>
    <w:p w14:paraId="66FE3A3C" w14:textId="4B9891D1" w:rsidR="0068234B" w:rsidRPr="00D249CD" w:rsidRDefault="0068234B" w:rsidP="00A1566A">
      <w:pPr>
        <w:ind w:left="1134"/>
        <w:rPr>
          <w:szCs w:val="22"/>
        </w:rPr>
      </w:pPr>
      <w:r w:rsidRPr="00E94446">
        <w:rPr>
          <w:szCs w:val="22"/>
        </w:rPr>
        <w:t>T</w:t>
      </w:r>
      <w:r w:rsidR="00587E48" w:rsidRPr="00E94446">
        <w:rPr>
          <w:szCs w:val="22"/>
        </w:rPr>
        <w:t>hrough their tender submission form, t</w:t>
      </w:r>
      <w:r w:rsidRPr="00E94446">
        <w:rPr>
          <w:szCs w:val="22"/>
        </w:rPr>
        <w:t>enderers must provide an undertaking signed by their representative certifying compl</w:t>
      </w:r>
      <w:r w:rsidRPr="0084548D">
        <w:rPr>
          <w:szCs w:val="22"/>
        </w:rPr>
        <w:t xml:space="preserve">iance with this requirement. </w:t>
      </w:r>
      <w:r w:rsidR="00CF49AA" w:rsidRPr="00E94446">
        <w:rPr>
          <w:szCs w:val="22"/>
        </w:rPr>
        <w:t xml:space="preserve">The tenderer is obliged to verify that the provided information is correct. Otherwise, the tenderer risks to be excluded </w:t>
      </w:r>
      <w:r w:rsidR="00CF49AA" w:rsidRPr="00E94446">
        <w:rPr>
          <w:szCs w:val="22"/>
        </w:rPr>
        <w:lastRenderedPageBreak/>
        <w:t xml:space="preserve">because of negligently misrepresenting information. </w:t>
      </w:r>
      <w:r w:rsidRPr="00E94446">
        <w:rPr>
          <w:szCs w:val="22"/>
        </w:rPr>
        <w:t>For more details</w:t>
      </w:r>
      <w:r w:rsidR="003111D9" w:rsidRPr="00E94446">
        <w:rPr>
          <w:szCs w:val="22"/>
        </w:rPr>
        <w:t>,</w:t>
      </w:r>
      <w:r w:rsidRPr="00E94446">
        <w:rPr>
          <w:szCs w:val="22"/>
        </w:rPr>
        <w:t xml:space="preserve"> see </w:t>
      </w:r>
      <w:r w:rsidR="00CF634D" w:rsidRPr="00E94446">
        <w:rPr>
          <w:szCs w:val="22"/>
        </w:rPr>
        <w:t>Section</w:t>
      </w:r>
      <w:r w:rsidRPr="00E94446">
        <w:rPr>
          <w:szCs w:val="22"/>
        </w:rPr>
        <w:t xml:space="preserve"> </w:t>
      </w:r>
      <w:r w:rsidR="00E35BD7" w:rsidRPr="00E94446">
        <w:rPr>
          <w:szCs w:val="22"/>
        </w:rPr>
        <w:t>2.3.5.</w:t>
      </w:r>
      <w:r w:rsidRPr="00E94446">
        <w:rPr>
          <w:szCs w:val="22"/>
        </w:rPr>
        <w:t xml:space="preserve"> </w:t>
      </w:r>
      <w:r w:rsidR="00E35BD7" w:rsidRPr="00E94446">
        <w:rPr>
          <w:szCs w:val="22"/>
        </w:rPr>
        <w:t xml:space="preserve">of </w:t>
      </w:r>
      <w:r w:rsidR="00E35BD7" w:rsidRPr="00D249CD">
        <w:rPr>
          <w:szCs w:val="22"/>
        </w:rPr>
        <w:t>the p</w:t>
      </w:r>
      <w:r w:rsidR="00093510" w:rsidRPr="00D249CD">
        <w:rPr>
          <w:szCs w:val="22"/>
        </w:rPr>
        <w:t xml:space="preserve">ractical </w:t>
      </w:r>
      <w:r w:rsidR="00E35BD7" w:rsidRPr="00D249CD">
        <w:rPr>
          <w:szCs w:val="22"/>
        </w:rPr>
        <w:t>g</w:t>
      </w:r>
      <w:r w:rsidR="00093510" w:rsidRPr="00D249CD">
        <w:rPr>
          <w:szCs w:val="22"/>
        </w:rPr>
        <w:t>uide</w:t>
      </w:r>
      <w:r w:rsidRPr="00D249CD">
        <w:rPr>
          <w:szCs w:val="22"/>
        </w:rPr>
        <w:t>.</w:t>
      </w:r>
    </w:p>
    <w:p w14:paraId="09626ABA" w14:textId="41719480" w:rsidR="0068234B" w:rsidRPr="00D249CD" w:rsidRDefault="0068234B" w:rsidP="001D55A9">
      <w:pPr>
        <w:pStyle w:val="Balk4"/>
      </w:pPr>
      <w:r w:rsidRPr="00D249CD">
        <w:t xml:space="preserve">Tender guarantee, </w:t>
      </w:r>
      <w:r w:rsidR="00CB0002" w:rsidRPr="00D249CD">
        <w:t>using</w:t>
      </w:r>
      <w:r w:rsidRPr="00D249CD">
        <w:t xml:space="preserve"> the form provided in Volume 1, Section </w:t>
      </w:r>
      <w:proofErr w:type="gramStart"/>
      <w:r w:rsidRPr="00D249CD">
        <w:t>3</w:t>
      </w:r>
      <w:r w:rsidR="003C5C95" w:rsidRPr="00D249CD">
        <w:t>;</w:t>
      </w:r>
      <w:proofErr w:type="gramEnd"/>
    </w:p>
    <w:p w14:paraId="1E109D69" w14:textId="77777777" w:rsidR="0068234B" w:rsidRPr="000F1C89" w:rsidRDefault="0068234B" w:rsidP="00D713F1">
      <w:pPr>
        <w:pStyle w:val="Balk3"/>
        <w:ind w:left="709" w:hanging="567"/>
      </w:pPr>
      <w:proofErr w:type="gramStart"/>
      <w:r w:rsidRPr="000F1C89">
        <w:t>In order to</w:t>
      </w:r>
      <w:proofErr w:type="gramEnd"/>
      <w:r w:rsidRPr="000F1C89">
        <w:t xml:space="preserve">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1C3D5A">
      <w:pPr>
        <w:ind w:left="709"/>
      </w:pPr>
      <w:r w:rsidRPr="000F1C89">
        <w:t>I</w:t>
      </w:r>
      <w:r w:rsidR="00F25C13" w:rsidRPr="000F1C89">
        <w:t>f</w:t>
      </w:r>
      <w:r w:rsidRPr="000F1C89">
        <w:t xml:space="preserve"> a tender </w:t>
      </w:r>
      <w:r w:rsidR="00F25C13" w:rsidRPr="000F1C89">
        <w:t xml:space="preserve">is </w:t>
      </w:r>
      <w:r w:rsidRPr="000F1C89">
        <w:t xml:space="preserve">submitted by a consortium, unless specified, the selection criteria will be applied to the </w:t>
      </w:r>
      <w:proofErr w:type="gramStart"/>
      <w:r w:rsidRPr="000F1C89">
        <w:t>consortium as a whole</w:t>
      </w:r>
      <w:proofErr w:type="gramEnd"/>
      <w:r w:rsidR="00F25C13" w:rsidRPr="000F1C89">
        <w:t>.</w:t>
      </w:r>
    </w:p>
    <w:p w14:paraId="646D0D6F" w14:textId="3D5ACDD7" w:rsidR="0041666A" w:rsidRPr="000F1C89" w:rsidRDefault="0068234B" w:rsidP="001C3D5A">
      <w:pPr>
        <w:ind w:left="709"/>
      </w:pPr>
      <w:r w:rsidRPr="00D249CD">
        <w:t>The selection criteria for each tenderer are as follows:</w:t>
      </w:r>
    </w:p>
    <w:p w14:paraId="4B1FC6FB" w14:textId="77777777" w:rsidR="0068234B" w:rsidRPr="000F1C89" w:rsidRDefault="0068234B" w:rsidP="001C3D5A">
      <w:pPr>
        <w:ind w:left="709"/>
        <w:rPr>
          <w:b/>
          <w:i/>
        </w:rPr>
      </w:pPr>
      <w:r w:rsidRPr="000F1C89">
        <w:rPr>
          <w:b/>
          <w:i/>
        </w:rPr>
        <w:t>Economic and financial capacity of candidate:</w:t>
      </w:r>
    </w:p>
    <w:p w14:paraId="28B9DC7E" w14:textId="77777777" w:rsidR="000D3490" w:rsidRDefault="0068234B" w:rsidP="00BB3EB3">
      <w:pPr>
        <w:numPr>
          <w:ilvl w:val="0"/>
          <w:numId w:val="19"/>
        </w:numPr>
        <w:rPr>
          <w:b/>
        </w:rPr>
      </w:pPr>
      <w:r w:rsidRPr="00D249CD">
        <w:t xml:space="preserve">the average annual turnover of the tenderer in the past 3 years must be at least </w:t>
      </w:r>
      <w:r w:rsidR="00D249CD">
        <w:rPr>
          <w:b/>
        </w:rPr>
        <w:t>1</w:t>
      </w:r>
      <w:r w:rsidR="00D249CD">
        <w:rPr>
          <w:b/>
        </w:rPr>
        <w:t>7</w:t>
      </w:r>
      <w:r w:rsidR="00D249CD" w:rsidRPr="00A85D9C">
        <w:rPr>
          <w:b/>
        </w:rPr>
        <w:t>0 000.00 EUR</w:t>
      </w:r>
      <w:r w:rsidR="000D3490">
        <w:rPr>
          <w:b/>
        </w:rPr>
        <w:t xml:space="preserve">. </w:t>
      </w:r>
    </w:p>
    <w:p w14:paraId="238F46FA" w14:textId="33E1E504" w:rsidR="000D3490" w:rsidRDefault="000D3490" w:rsidP="000D3490">
      <w:pPr>
        <w:ind w:left="1429"/>
      </w:pPr>
      <w:r w:rsidRPr="009E5F43">
        <w:t xml:space="preserve">The documents with which the economic and financial capacity of the tenderer under the instructions to tenderers is proved are financial statements or their extracts for a period equal to or less than the last 3 years for which accounts have been closed, where publication of the balance sheet is required under the company law of the country in which the economic operator is established or a statement of overall turnover during a period of no more than the last three financial years. </w:t>
      </w:r>
    </w:p>
    <w:p w14:paraId="2E27768F" w14:textId="67440EFF" w:rsidR="007C33CD" w:rsidRPr="000F1C89" w:rsidRDefault="000D3490" w:rsidP="000D3490">
      <w:pPr>
        <w:ind w:left="1429"/>
      </w:pPr>
      <w:r>
        <w:t>If, for any valid reason, the economic operator is unable to provide the references requested by the contracting authority, it may prove its economic and financial capacity by any other document that the contracting authority considers appropriate.</w:t>
      </w:r>
    </w:p>
    <w:p w14:paraId="3AFC1202" w14:textId="77777777" w:rsidR="007C33CD" w:rsidRPr="000F1C89" w:rsidRDefault="007C33CD" w:rsidP="001C2D41">
      <w:pPr>
        <w:ind w:left="2268"/>
      </w:pPr>
    </w:p>
    <w:p w14:paraId="734BAA32" w14:textId="77777777" w:rsidR="0068234B" w:rsidRPr="000D3490" w:rsidRDefault="0068234B" w:rsidP="000D3490">
      <w:pPr>
        <w:rPr>
          <w:b/>
          <w:i/>
        </w:rPr>
      </w:pPr>
      <w:r w:rsidRPr="000D3490">
        <w:rPr>
          <w:b/>
          <w:i/>
        </w:rPr>
        <w:t>Technical and professional capacity of candidate:</w:t>
      </w:r>
    </w:p>
    <w:p w14:paraId="79F2A435" w14:textId="37EF27E4" w:rsidR="000D3490" w:rsidRDefault="000D3490" w:rsidP="00BB3EB3">
      <w:pPr>
        <w:numPr>
          <w:ilvl w:val="0"/>
          <w:numId w:val="8"/>
        </w:numPr>
      </w:pPr>
      <w:r>
        <w:t>The tenderer</w:t>
      </w:r>
      <w:r w:rsidR="0068234B" w:rsidRPr="000D3490">
        <w:t xml:space="preserve"> must have completed at least</w:t>
      </w:r>
      <w:r w:rsidR="0068234B" w:rsidRPr="00BF18CA">
        <w:rPr>
          <w:b/>
          <w:bCs/>
        </w:rPr>
        <w:t xml:space="preserve"> </w:t>
      </w:r>
      <w:r w:rsidRPr="00BF18CA">
        <w:rPr>
          <w:b/>
          <w:bCs/>
        </w:rPr>
        <w:t>1</w:t>
      </w:r>
      <w:r>
        <w:t xml:space="preserve"> </w:t>
      </w:r>
      <w:r w:rsidRPr="009E5F43">
        <w:t xml:space="preserve">works contract and/or project and/or </w:t>
      </w:r>
      <w:r>
        <w:t xml:space="preserve">activity </w:t>
      </w:r>
      <w:r w:rsidRPr="009E5F43">
        <w:t xml:space="preserve">of the same nature and complexity as the works concerned by the tender and implemented during the following period: </w:t>
      </w:r>
      <w:r w:rsidR="00BF18CA">
        <w:rPr>
          <w:b/>
        </w:rPr>
        <w:t>21</w:t>
      </w:r>
      <w:r w:rsidRPr="00022BC3">
        <w:rPr>
          <w:b/>
        </w:rPr>
        <w:t>.0</w:t>
      </w:r>
      <w:r w:rsidR="00BF18CA">
        <w:rPr>
          <w:b/>
        </w:rPr>
        <w:t>2</w:t>
      </w:r>
      <w:r w:rsidRPr="00022BC3">
        <w:rPr>
          <w:b/>
        </w:rPr>
        <w:t>.</w:t>
      </w:r>
      <w:r>
        <w:rPr>
          <w:b/>
        </w:rPr>
        <w:t>201</w:t>
      </w:r>
      <w:r w:rsidR="00BF18CA">
        <w:rPr>
          <w:b/>
        </w:rPr>
        <w:t>7</w:t>
      </w:r>
      <w:r w:rsidRPr="00AB63E2">
        <w:rPr>
          <w:b/>
        </w:rPr>
        <w:t xml:space="preserve"> – </w:t>
      </w:r>
      <w:r w:rsidR="00BF18CA">
        <w:rPr>
          <w:b/>
        </w:rPr>
        <w:t>21</w:t>
      </w:r>
      <w:r w:rsidRPr="00022BC3">
        <w:rPr>
          <w:b/>
        </w:rPr>
        <w:t>.0</w:t>
      </w:r>
      <w:r w:rsidR="00BF18CA">
        <w:rPr>
          <w:b/>
        </w:rPr>
        <w:t>2</w:t>
      </w:r>
      <w:r w:rsidRPr="00022BC3">
        <w:rPr>
          <w:b/>
        </w:rPr>
        <w:t>.202</w:t>
      </w:r>
      <w:r w:rsidR="00BF18CA">
        <w:rPr>
          <w:b/>
        </w:rPr>
        <w:t>2</w:t>
      </w:r>
      <w:r w:rsidRPr="009E5F43">
        <w:t xml:space="preserve"> which period is 5 years counting from the submission deadline. </w:t>
      </w:r>
    </w:p>
    <w:p w14:paraId="497EA90D" w14:textId="650B7FF3" w:rsidR="000D3490" w:rsidRPr="00BF18CA" w:rsidRDefault="00BF18CA" w:rsidP="000D3490">
      <w:pPr>
        <w:ind w:left="1854"/>
        <w:rPr>
          <w:b/>
          <w:bCs/>
        </w:rPr>
      </w:pPr>
      <w:r w:rsidRPr="00BF18CA">
        <w:rPr>
          <w:b/>
          <w:bCs/>
        </w:rPr>
        <w:t>Contract and/or project and/or activity of the same nature and complexity as of this tender is considered a contract and/or project and/or activity for construction and/or repair and/or reconstruction of sport playgrounds and/or of equivalent sport facilities and/or of recreation areas and/or of parks and/or of equivalent outdoor areas.</w:t>
      </w:r>
    </w:p>
    <w:p w14:paraId="5DC20084" w14:textId="7B014681" w:rsidR="0068234B" w:rsidRDefault="0068234B" w:rsidP="000F1C89">
      <w:pPr>
        <w:ind w:left="1854"/>
      </w:pPr>
      <w:r w:rsidRPr="000D3490">
        <w:t xml:space="preserve">This means that the project the tenderer refers to could have been started/implemented/completed at any time during the indicated </w:t>
      </w:r>
      <w:proofErr w:type="gramStart"/>
      <w:r w:rsidRPr="000D3490">
        <w:t>period</w:t>
      </w:r>
      <w:proofErr w:type="gramEnd"/>
      <w:r w:rsidRPr="000D3490">
        <w:t xml:space="preserve"> but it does not necessarily have to be started and completed during that period, nor implemented during the entire period.</w:t>
      </w:r>
    </w:p>
    <w:p w14:paraId="7AFAC84F" w14:textId="51CE26BF" w:rsidR="00BF18CA" w:rsidRDefault="00BF18CA" w:rsidP="000F1C89">
      <w:pPr>
        <w:ind w:left="1854"/>
      </w:pPr>
      <w:r w:rsidRPr="00BF18CA">
        <w:t>The documents with which compliance with the technical and professional capacity under of the instructions to tenderers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w:t>
      </w:r>
    </w:p>
    <w:p w14:paraId="0CAE1684" w14:textId="0DA28AE5" w:rsidR="00BF18CA" w:rsidRDefault="00BF18CA" w:rsidP="000F1C89">
      <w:pPr>
        <w:ind w:left="1854"/>
      </w:pPr>
    </w:p>
    <w:p w14:paraId="2FB71B7F" w14:textId="77777777" w:rsidR="00BF18CA" w:rsidRPr="000D3490" w:rsidRDefault="00BF18CA" w:rsidP="000F1C89">
      <w:pPr>
        <w:ind w:left="1854"/>
      </w:pPr>
    </w:p>
    <w:p w14:paraId="70F1A4A2" w14:textId="77777777" w:rsidR="0041666A" w:rsidRPr="00BB3EB3" w:rsidRDefault="0041666A" w:rsidP="00BF18CA">
      <w:pPr>
        <w:pStyle w:val="Balk4"/>
        <w:numPr>
          <w:ilvl w:val="0"/>
          <w:numId w:val="0"/>
        </w:numPr>
        <w:ind w:left="1854"/>
        <w:rPr>
          <w:highlight w:val="lightGray"/>
        </w:rPr>
      </w:pPr>
      <w:r w:rsidRPr="000F1C89">
        <w:t>Capacity-providing entities:</w:t>
      </w:r>
    </w:p>
    <w:p w14:paraId="0145DBA8" w14:textId="77777777"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700878CC" w14:textId="77777777" w:rsidR="0068234B" w:rsidRPr="000F1C89" w:rsidRDefault="00F209F0" w:rsidP="000F1C89">
      <w:pPr>
        <w:ind w:left="1985"/>
      </w:pPr>
      <w:proofErr w:type="gramStart"/>
      <w:r w:rsidRPr="000F1C89">
        <w:t>With regard to</w:t>
      </w:r>
      <w:proofErr w:type="gramEnd"/>
      <w:r w:rsidRPr="000F1C89">
        <w:t xml:space="preserve">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100F0FDE" w14:textId="77777777" w:rsidR="00F209F0" w:rsidRPr="000F1C89" w:rsidRDefault="00937D52" w:rsidP="000F1C89">
      <w:pPr>
        <w:ind w:left="1985"/>
      </w:pPr>
      <w:proofErr w:type="gramStart"/>
      <w:r w:rsidRPr="000F1C89">
        <w:t>W</w:t>
      </w:r>
      <w:r w:rsidR="00F209F0" w:rsidRPr="000F1C89">
        <w:t>ith regard to</w:t>
      </w:r>
      <w:proofErr w:type="gramEnd"/>
      <w:r w:rsidR="00F209F0" w:rsidRPr="000F1C89">
        <w:t xml:space="preserve">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6998AABF" w14:textId="77777777" w:rsidR="0068234B" w:rsidRPr="000F1C89" w:rsidRDefault="0068234B" w:rsidP="00AF0838">
      <w:pPr>
        <w:pStyle w:val="Balk3"/>
      </w:pPr>
      <w:r w:rsidRPr="000F1C89">
        <w:t>Tenders submitted by companies in partnerships forming a joint venture/consortium must also fulfil the following requirements:</w:t>
      </w:r>
    </w:p>
    <w:p w14:paraId="20DB4FFC" w14:textId="77777777" w:rsidR="0068234B" w:rsidRPr="000F1C89" w:rsidRDefault="0068234B" w:rsidP="00BB3EB3">
      <w:pPr>
        <w:numPr>
          <w:ilvl w:val="0"/>
          <w:numId w:val="9"/>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BB3EB3">
      <w:pPr>
        <w:numPr>
          <w:ilvl w:val="0"/>
          <w:numId w:val="9"/>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BB3EB3">
      <w:pPr>
        <w:numPr>
          <w:ilvl w:val="0"/>
          <w:numId w:val="9"/>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486D0843" w14:textId="595ADE0D" w:rsidR="0068234B" w:rsidRPr="000F1C89" w:rsidRDefault="0068234B" w:rsidP="00AF0838">
      <w:pPr>
        <w:ind w:left="1134"/>
      </w:pPr>
    </w:p>
    <w:p w14:paraId="19E2C6C9" w14:textId="69F5BFB2" w:rsidR="0068234B" w:rsidRPr="000F1C89" w:rsidRDefault="0068234B" w:rsidP="008C49BA">
      <w:pPr>
        <w:pStyle w:val="Balk2"/>
      </w:pPr>
      <w:bookmarkStart w:id="19" w:name="_Toc529523967"/>
      <w:r w:rsidRPr="000F1C89">
        <w:t>TENDER PRICES</w:t>
      </w:r>
      <w:bookmarkEnd w:id="19"/>
    </w:p>
    <w:p w14:paraId="2BF0DBB2" w14:textId="488277B0" w:rsidR="0068234B" w:rsidRPr="000F1C89" w:rsidRDefault="0068234B" w:rsidP="00D2731E">
      <w:pPr>
        <w:pStyle w:val="Balk3"/>
        <w:ind w:left="720"/>
      </w:pPr>
      <w:r w:rsidRPr="000F1C89">
        <w:t xml:space="preserve">The currency of the tender </w:t>
      </w:r>
      <w:r w:rsidRPr="00BF18CA">
        <w:t>is the</w:t>
      </w:r>
      <w:r w:rsidR="00975CA2" w:rsidRPr="00BF18CA">
        <w:t xml:space="preserve"> EUR</w:t>
      </w:r>
      <w:r w:rsidR="00BF18CA" w:rsidRPr="00BF18CA">
        <w:t>.</w:t>
      </w:r>
    </w:p>
    <w:p w14:paraId="52290ADD" w14:textId="5F9C0ADF" w:rsidR="0068234B" w:rsidRPr="000F1C89" w:rsidRDefault="0068234B" w:rsidP="00D2731E">
      <w:pPr>
        <w:pStyle w:val="Balk3"/>
        <w:ind w:left="720"/>
      </w:pPr>
      <w:r w:rsidRPr="000F1C89">
        <w:t xml:space="preserve">The tenderer must </w:t>
      </w:r>
      <w:r w:rsidRPr="00BF18CA">
        <w:t>provide</w:t>
      </w:r>
      <w:r w:rsidR="00BF18CA" w:rsidRPr="00BF18CA">
        <w:t xml:space="preserve"> </w:t>
      </w:r>
      <w:r w:rsidRPr="00BF18CA">
        <w:t xml:space="preserve">a </w:t>
      </w:r>
      <w:r w:rsidR="00F46499" w:rsidRPr="00BF18CA">
        <w:t>b</w:t>
      </w:r>
      <w:r w:rsidRPr="00BF18CA">
        <w:t xml:space="preserve">ill of </w:t>
      </w:r>
      <w:r w:rsidR="00F46499" w:rsidRPr="00BF18CA">
        <w:t>q</w:t>
      </w:r>
      <w:r w:rsidRPr="00BF18CA">
        <w:t xml:space="preserve">uantities and </w:t>
      </w:r>
      <w:r w:rsidR="00F46499" w:rsidRPr="001D7396">
        <w:t>p</w:t>
      </w:r>
      <w:r w:rsidRPr="001D7396">
        <w:t xml:space="preserve">rice </w:t>
      </w:r>
      <w:r w:rsidR="00F46499" w:rsidRPr="001D7396">
        <w:t>s</w:t>
      </w:r>
      <w:r w:rsidRPr="001D7396">
        <w:t>chedule</w:t>
      </w:r>
      <w:r w:rsidR="00BF18CA" w:rsidRPr="001D7396">
        <w:t xml:space="preserve"> in EUR. </w:t>
      </w:r>
      <w:r w:rsidR="00200649" w:rsidRPr="001D7396">
        <w:t xml:space="preserve"> </w:t>
      </w:r>
      <w:r w:rsidRPr="001D7396">
        <w:t xml:space="preserve">The tender price must cover </w:t>
      </w:r>
      <w:r w:rsidR="004842DD" w:rsidRPr="001D7396">
        <w:t>all</w:t>
      </w:r>
      <w:r w:rsidRPr="001D7396">
        <w:t xml:space="preserve"> works as described in the tender documents. All sums in the </w:t>
      </w:r>
      <w:r w:rsidR="00F46499" w:rsidRPr="001D7396">
        <w:t>b</w:t>
      </w:r>
      <w:r w:rsidRPr="001D7396">
        <w:t xml:space="preserve">ill of </w:t>
      </w:r>
      <w:r w:rsidR="00F46499" w:rsidRPr="001D7396">
        <w:t>q</w:t>
      </w:r>
      <w:r w:rsidRPr="001D7396">
        <w:t xml:space="preserve">uantities and </w:t>
      </w:r>
      <w:r w:rsidR="00F46499" w:rsidRPr="001D7396">
        <w:t>p</w:t>
      </w:r>
      <w:r w:rsidRPr="001D7396">
        <w:t xml:space="preserve">rice </w:t>
      </w:r>
      <w:r w:rsidR="00F46499" w:rsidRPr="001D7396">
        <w:t>s</w:t>
      </w:r>
      <w:r w:rsidRPr="001D7396">
        <w:t>chedule</w:t>
      </w:r>
      <w:r w:rsidR="001D7396" w:rsidRPr="001D7396">
        <w:t xml:space="preserve"> </w:t>
      </w:r>
      <w:r w:rsidRPr="001D7396">
        <w:t xml:space="preserve">the questionnaire and other documents must also be expressed in this currency, </w:t>
      </w:r>
      <w:proofErr w:type="gramStart"/>
      <w:r w:rsidRPr="001D7396">
        <w:t>with the exception of</w:t>
      </w:r>
      <w:proofErr w:type="gramEnd"/>
      <w:r w:rsidRPr="001D7396">
        <w:t xml:space="preserve"> originals of bank and annual financial statements.</w:t>
      </w:r>
    </w:p>
    <w:p w14:paraId="0B9299E7" w14:textId="7E2FE2B5" w:rsidR="0068234B" w:rsidRPr="000961F5" w:rsidRDefault="00263C4F" w:rsidP="00D2731E">
      <w:pPr>
        <w:pStyle w:val="Balk3"/>
        <w:ind w:left="720"/>
      </w:pPr>
      <w:r w:rsidRPr="000961F5">
        <w:lastRenderedPageBreak/>
        <w:t xml:space="preserve">Tenderers must quote all components of the </w:t>
      </w:r>
      <w:r w:rsidR="00F46499" w:rsidRPr="000961F5">
        <w:t>b</w:t>
      </w:r>
      <w:r w:rsidRPr="000961F5">
        <w:t xml:space="preserve">ill of </w:t>
      </w:r>
      <w:r w:rsidR="00F46499" w:rsidRPr="000961F5">
        <w:t>q</w:t>
      </w:r>
      <w:r w:rsidRPr="000961F5">
        <w:t xml:space="preserve">uantities and </w:t>
      </w:r>
      <w:r w:rsidR="00F46499" w:rsidRPr="000961F5">
        <w:t>p</w:t>
      </w:r>
      <w:r w:rsidRPr="000961F5">
        <w:t xml:space="preserve">rice </w:t>
      </w:r>
      <w:r w:rsidR="00F46499" w:rsidRPr="000961F5">
        <w:t>s</w:t>
      </w:r>
      <w:r w:rsidRPr="000961F5">
        <w:t>chedule</w:t>
      </w:r>
      <w:r w:rsidR="000961F5" w:rsidRPr="000961F5">
        <w:t>.</w:t>
      </w:r>
      <w:r w:rsidR="00200649" w:rsidRPr="000961F5">
        <w:t xml:space="preserve"> </w:t>
      </w:r>
      <w:r w:rsidRPr="000961F5">
        <w:t xml:space="preserve">No payment will be made for items which have not been costed; such items will be deemed to be covered by other items on </w:t>
      </w:r>
      <w:r w:rsidR="00F46499" w:rsidRPr="000961F5">
        <w:t>b</w:t>
      </w:r>
      <w:r w:rsidRPr="000961F5">
        <w:t xml:space="preserve">ill of </w:t>
      </w:r>
      <w:r w:rsidR="00F46499" w:rsidRPr="000961F5">
        <w:t>q</w:t>
      </w:r>
      <w:r w:rsidRPr="000961F5">
        <w:t xml:space="preserve">uantities and </w:t>
      </w:r>
      <w:r w:rsidR="00F46499" w:rsidRPr="000961F5">
        <w:t>p</w:t>
      </w:r>
      <w:r w:rsidRPr="000961F5">
        <w:t xml:space="preserve">rice </w:t>
      </w:r>
      <w:r w:rsidR="00F46499" w:rsidRPr="000961F5">
        <w:t>s</w:t>
      </w:r>
      <w:r w:rsidRPr="000961F5">
        <w:t>chedule</w:t>
      </w:r>
      <w:r w:rsidR="000961F5" w:rsidRPr="000961F5">
        <w:t>.</w:t>
      </w:r>
    </w:p>
    <w:p w14:paraId="1226EFB0" w14:textId="38D06F40" w:rsidR="0068234B" w:rsidRPr="00717F62" w:rsidRDefault="0068234B" w:rsidP="00D2731E">
      <w:pPr>
        <w:pStyle w:val="Balk3"/>
        <w:ind w:left="720"/>
      </w:pPr>
      <w:r w:rsidRPr="00717F62">
        <w:t xml:space="preserve">If a discount is offered by the tenderer, it must be clearly specified in the </w:t>
      </w:r>
      <w:r w:rsidR="00F46499" w:rsidRPr="00717F62">
        <w:t>b</w:t>
      </w:r>
      <w:r w:rsidRPr="00717F62">
        <w:t xml:space="preserve">ill of </w:t>
      </w:r>
      <w:r w:rsidR="00F46499" w:rsidRPr="00717F62">
        <w:t>q</w:t>
      </w:r>
      <w:r w:rsidRPr="00717F62">
        <w:t xml:space="preserve">uantities and </w:t>
      </w:r>
      <w:r w:rsidR="00F46499" w:rsidRPr="00717F62">
        <w:t>p</w:t>
      </w:r>
      <w:r w:rsidRPr="00717F62">
        <w:t xml:space="preserve">rice </w:t>
      </w:r>
      <w:proofErr w:type="gramStart"/>
      <w:r w:rsidR="00F46499" w:rsidRPr="00717F62">
        <w:t>s</w:t>
      </w:r>
      <w:r w:rsidRPr="00717F62">
        <w:t>chedule</w:t>
      </w:r>
      <w:r w:rsidR="00200649" w:rsidRPr="00717F62">
        <w:t xml:space="preserve"> </w:t>
      </w:r>
      <w:r w:rsidRPr="00717F62">
        <w:t xml:space="preserve"> in</w:t>
      </w:r>
      <w:proofErr w:type="gramEnd"/>
      <w:r w:rsidRPr="00717F62">
        <w:t xml:space="preserve"> Volume 4 and indicated in the tender form in Volume 1, Section 1.2. The discount must be quoted for </w:t>
      </w:r>
      <w:r w:rsidR="00BC7DAF" w:rsidRPr="00717F62">
        <w:t>all</w:t>
      </w:r>
      <w:r w:rsidRPr="00717F62">
        <w:t xml:space="preserve"> works.</w:t>
      </w:r>
    </w:p>
    <w:p w14:paraId="7AC5F253" w14:textId="77777777" w:rsidR="0068234B" w:rsidRPr="000F1C89" w:rsidRDefault="0068234B" w:rsidP="00D2731E">
      <w:pPr>
        <w:pStyle w:val="Balk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8C49BA">
      <w:pPr>
        <w:pStyle w:val="Balk2"/>
      </w:pPr>
      <w:bookmarkStart w:id="20" w:name="_Toc529523968"/>
      <w:r w:rsidRPr="000F1C89">
        <w:t>PERIOD OF VALIDITY OF TENDERS</w:t>
      </w:r>
      <w:bookmarkEnd w:id="20"/>
    </w:p>
    <w:p w14:paraId="4F247CCA" w14:textId="77777777" w:rsidR="0068234B" w:rsidRPr="000F1C89" w:rsidRDefault="0068234B" w:rsidP="00D2731E">
      <w:pPr>
        <w:pStyle w:val="Balk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7777777" w:rsidR="0068234B" w:rsidRPr="000F1C89" w:rsidRDefault="0068234B" w:rsidP="00D2731E">
      <w:pPr>
        <w:pStyle w:val="Balk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D2731E">
      <w:pPr>
        <w:pStyle w:val="Balk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8C49BA">
      <w:pPr>
        <w:pStyle w:val="Balk2"/>
      </w:pPr>
      <w:bookmarkStart w:id="21" w:name="_Toc529523969"/>
      <w:r w:rsidRPr="000F1C89">
        <w:t>TENDER GUARANTEE</w:t>
      </w:r>
      <w:bookmarkEnd w:id="21"/>
    </w:p>
    <w:p w14:paraId="146F3386" w14:textId="639DECC5" w:rsidR="0068234B" w:rsidRPr="00115626" w:rsidRDefault="0068234B" w:rsidP="00D2731E">
      <w:pPr>
        <w:pStyle w:val="Balk3"/>
        <w:ind w:left="680"/>
      </w:pPr>
      <w:r w:rsidRPr="00115626">
        <w:t xml:space="preserve">The tenderer must provide, as a part of its tender, a tender guarantee in the form set out in Volume 1, Section 3 of the tender dossier, or in another form acceptable to the </w:t>
      </w:r>
      <w:r w:rsidR="00F46499" w:rsidRPr="00115626">
        <w:t>c</w:t>
      </w:r>
      <w:r w:rsidRPr="00115626">
        <w:t xml:space="preserve">ontracting </w:t>
      </w:r>
      <w:r w:rsidR="00F46499" w:rsidRPr="00115626">
        <w:t>a</w:t>
      </w:r>
      <w:r w:rsidRPr="00115626">
        <w:t xml:space="preserve">uthority </w:t>
      </w:r>
      <w:r w:rsidR="00BB31D8" w:rsidRPr="00115626">
        <w:t>that</w:t>
      </w:r>
      <w:r w:rsidRPr="00115626">
        <w:t xml:space="preserve"> meet</w:t>
      </w:r>
      <w:r w:rsidR="00BB31D8" w:rsidRPr="00115626">
        <w:t>s</w:t>
      </w:r>
      <w:r w:rsidRPr="00115626">
        <w:t xml:space="preserve"> the essential requirements set out therein. The tender guarantee must be for an amount </w:t>
      </w:r>
      <w:proofErr w:type="gramStart"/>
      <w:r w:rsidRPr="00115626">
        <w:t>of</w:t>
      </w:r>
      <w:r w:rsidR="00115626" w:rsidRPr="00115626">
        <w:t xml:space="preserve">  </w:t>
      </w:r>
      <w:r w:rsidR="00115626" w:rsidRPr="00115626">
        <w:rPr>
          <w:b/>
          <w:bCs/>
        </w:rPr>
        <w:t>EUR</w:t>
      </w:r>
      <w:proofErr w:type="gramEnd"/>
      <w:r w:rsidR="00115626" w:rsidRPr="00115626">
        <w:rPr>
          <w:b/>
          <w:bCs/>
        </w:rPr>
        <w:t xml:space="preserve"> </w:t>
      </w:r>
      <w:r w:rsidR="00115626">
        <w:rPr>
          <w:b/>
          <w:bCs/>
        </w:rPr>
        <w:t>5.0</w:t>
      </w:r>
      <w:r w:rsidR="00115626" w:rsidRPr="00115626">
        <w:rPr>
          <w:b/>
          <w:bCs/>
        </w:rPr>
        <w:t>00,00</w:t>
      </w:r>
      <w:r w:rsidRPr="00115626">
        <w:t>. The original guarantee must be included in the original tender.</w:t>
      </w:r>
    </w:p>
    <w:p w14:paraId="09186AE2" w14:textId="77777777" w:rsidR="0068234B" w:rsidRPr="00115626" w:rsidRDefault="0068234B" w:rsidP="00D2731E">
      <w:pPr>
        <w:pStyle w:val="Balk3"/>
        <w:ind w:left="680"/>
      </w:pPr>
      <w:r w:rsidRPr="00115626">
        <w:t>It may be provided in the form of a bank guarantee, a banker</w:t>
      </w:r>
      <w:r w:rsidR="00E725FE" w:rsidRPr="00115626">
        <w:t>’</w:t>
      </w:r>
      <w:r w:rsidRPr="00115626">
        <w:t xml:space="preserve">s draft, a certified cheque, a guarantee provided by an insurance and/or guarantee company or an irrevocable letter of credit made out to the </w:t>
      </w:r>
      <w:r w:rsidR="00F46499" w:rsidRPr="00115626">
        <w:t>c</w:t>
      </w:r>
      <w:r w:rsidRPr="00115626">
        <w:t xml:space="preserve">ontracting </w:t>
      </w:r>
      <w:r w:rsidR="00F46499" w:rsidRPr="00115626">
        <w:t>a</w:t>
      </w:r>
      <w:r w:rsidRPr="00115626">
        <w:t>uthority.</w:t>
      </w:r>
    </w:p>
    <w:p w14:paraId="08C9135B" w14:textId="77777777" w:rsidR="0068234B" w:rsidRPr="00115626" w:rsidRDefault="0068234B" w:rsidP="00D2731E">
      <w:pPr>
        <w:pStyle w:val="Balk3"/>
        <w:ind w:left="680"/>
      </w:pPr>
      <w:r w:rsidRPr="00115626">
        <w:t xml:space="preserve">The tender guarantee must remain valid for 45 days beyond the period of validity of the tender, including any extensions, and be issued to the </w:t>
      </w:r>
      <w:r w:rsidR="00F46499" w:rsidRPr="00115626">
        <w:t>c</w:t>
      </w:r>
      <w:r w:rsidRPr="00115626">
        <w:t xml:space="preserve">ontracting </w:t>
      </w:r>
      <w:r w:rsidR="00F46499" w:rsidRPr="00115626">
        <w:t>a</w:t>
      </w:r>
      <w:r w:rsidRPr="00115626">
        <w:t>uthority for the requisite amount.</w:t>
      </w:r>
    </w:p>
    <w:p w14:paraId="24F846D4" w14:textId="77777777" w:rsidR="0068234B" w:rsidRPr="00115626" w:rsidRDefault="0068234B" w:rsidP="00D2731E">
      <w:pPr>
        <w:pStyle w:val="Balk3"/>
        <w:ind w:left="680"/>
      </w:pPr>
      <w:r w:rsidRPr="00115626">
        <w:t>The tender guarantees of unsuccessful tenderers will be returned together with the information letter that the tenderer has been unsuccessful.</w:t>
      </w:r>
    </w:p>
    <w:p w14:paraId="63C1F267" w14:textId="3C913F85" w:rsidR="0068234B" w:rsidRPr="00115626" w:rsidRDefault="0068234B" w:rsidP="00D2731E">
      <w:pPr>
        <w:pStyle w:val="Balk3"/>
        <w:ind w:left="680"/>
      </w:pPr>
      <w:r w:rsidRPr="00115626">
        <w:lastRenderedPageBreak/>
        <w:t xml:space="preserve">The tender guarantee of the successful tenderer </w:t>
      </w:r>
      <w:r w:rsidR="004305FD" w:rsidRPr="00115626">
        <w:t>must</w:t>
      </w:r>
      <w:r w:rsidRPr="00115626">
        <w:t xml:space="preserve"> be released when the tenderer has signed the contract and provided the requisite performance guarantee.</w:t>
      </w:r>
    </w:p>
    <w:p w14:paraId="3BFB506B" w14:textId="77777777" w:rsidR="0068234B" w:rsidRPr="00656AED" w:rsidRDefault="0068234B" w:rsidP="008C49BA">
      <w:pPr>
        <w:pStyle w:val="Balk2"/>
      </w:pPr>
      <w:bookmarkStart w:id="22" w:name="_Toc529523970"/>
      <w:r w:rsidRPr="00656AED">
        <w:t>VARIANT SOLUTIONS</w:t>
      </w:r>
      <w:bookmarkEnd w:id="22"/>
    </w:p>
    <w:p w14:paraId="3348FC4D" w14:textId="77777777" w:rsidR="00DD53A0" w:rsidRPr="000F1C89" w:rsidRDefault="00DD53A0" w:rsidP="0072085D">
      <w:r w:rsidRPr="009E4665">
        <w:t>Variant solutions will not be taken into consideration.</w:t>
      </w:r>
    </w:p>
    <w:p w14:paraId="1203F13D" w14:textId="77777777" w:rsidR="0068234B" w:rsidRPr="000F1C89" w:rsidRDefault="0068234B" w:rsidP="00E97DD1">
      <w:pPr>
        <w:pStyle w:val="Balk1"/>
      </w:pPr>
      <w:bookmarkStart w:id="23" w:name="_Toc529523971"/>
      <w:r w:rsidRPr="000F1C89">
        <w:t>SUBMISSION OF TENDERS</w:t>
      </w:r>
      <w:bookmarkEnd w:id="23"/>
    </w:p>
    <w:p w14:paraId="4CCA5186" w14:textId="09161221" w:rsidR="003A5D59" w:rsidRDefault="00E47308" w:rsidP="00D2731E">
      <w:pPr>
        <w:pStyle w:val="Balk2"/>
        <w:numPr>
          <w:ilvl w:val="0"/>
          <w:numId w:val="0"/>
        </w:numPr>
        <w:ind w:left="576" w:hanging="576"/>
        <w:rPr>
          <w:lang w:val="el-GR"/>
        </w:rPr>
      </w:pPr>
      <w:bookmarkStart w:id="24" w:name="_Toc529523972"/>
      <w:r>
        <w:t xml:space="preserve">17. </w:t>
      </w:r>
      <w:r>
        <w:tab/>
      </w:r>
      <w:r w:rsidR="0068234B" w:rsidRPr="000F1C89">
        <w:t>SUBMI</w:t>
      </w:r>
      <w:r w:rsidR="00BB31D8" w:rsidRPr="000F1C89">
        <w:t>TTING</w:t>
      </w:r>
      <w:r w:rsidR="0068234B" w:rsidRPr="000F1C89">
        <w:t xml:space="preserve"> TENDERS</w:t>
      </w:r>
      <w:bookmarkEnd w:id="24"/>
    </w:p>
    <w:p w14:paraId="0E62431D" w14:textId="35DBFB72" w:rsidR="0068234B" w:rsidRPr="0093784E" w:rsidRDefault="0068234B" w:rsidP="00BB3EB3">
      <w:pPr>
        <w:pStyle w:val="Balk3"/>
        <w:numPr>
          <w:ilvl w:val="1"/>
          <w:numId w:val="18"/>
        </w:numPr>
      </w:pPr>
      <w:r w:rsidRPr="0093784E">
        <w:t xml:space="preserve">The complete tender must be submitted in one original, clearly marked </w:t>
      </w:r>
      <w:r w:rsidR="00E725FE" w:rsidRPr="0093784E">
        <w:t>‘</w:t>
      </w:r>
      <w:r w:rsidRPr="0093784E">
        <w:t>original</w:t>
      </w:r>
      <w:r w:rsidR="00E725FE" w:rsidRPr="0093784E">
        <w:t>’</w:t>
      </w:r>
      <w:r w:rsidRPr="0093784E">
        <w:t xml:space="preserve"> and</w:t>
      </w:r>
      <w:r w:rsidR="0093784E" w:rsidRPr="0093784E">
        <w:t xml:space="preserve"> one</w:t>
      </w:r>
      <w:r w:rsidRPr="0093784E">
        <w:t xml:space="preserve"> cop</w:t>
      </w:r>
      <w:r w:rsidR="0093784E" w:rsidRPr="0093784E">
        <w:t>y</w:t>
      </w:r>
      <w:r w:rsidRPr="0093784E">
        <w:t xml:space="preserve">, clearly marked </w:t>
      </w:r>
      <w:r w:rsidR="00E725FE" w:rsidRPr="0093784E">
        <w:t>‘</w:t>
      </w:r>
      <w:r w:rsidRPr="0093784E">
        <w:t>copy</w:t>
      </w:r>
      <w:r w:rsidR="00E725FE" w:rsidRPr="0093784E">
        <w:t>’</w:t>
      </w:r>
      <w:r w:rsidRPr="0093784E">
        <w:t>. In the event of any discrepancy between them</w:t>
      </w:r>
      <w:r w:rsidR="00FF1C64" w:rsidRPr="0093784E">
        <w:t>,</w:t>
      </w:r>
      <w:r w:rsidRPr="0093784E">
        <w:t xml:space="preserve"> the original will prevail.</w:t>
      </w:r>
      <w:r w:rsidR="003A512F" w:rsidRPr="0093784E">
        <w:t xml:space="preserve"> </w:t>
      </w:r>
    </w:p>
    <w:p w14:paraId="6AB55E83" w14:textId="0CF7C9D9" w:rsidR="0068234B" w:rsidRPr="0093784E" w:rsidRDefault="0068234B" w:rsidP="00BB3EB3">
      <w:pPr>
        <w:pStyle w:val="Balk3"/>
        <w:numPr>
          <w:ilvl w:val="1"/>
          <w:numId w:val="18"/>
        </w:numPr>
      </w:pPr>
      <w:r w:rsidRPr="0093784E">
        <w:t>The technical and financial offers must be placed together in a sealed envelope. The envelopes should then be placed in another sealed envelope/package, unless their volume requires a separate submission for each lot.</w:t>
      </w:r>
    </w:p>
    <w:p w14:paraId="4AF7C385" w14:textId="77DEC1B7" w:rsidR="0068234B" w:rsidRPr="0093784E" w:rsidRDefault="003A5D59" w:rsidP="00D2731E">
      <w:pPr>
        <w:pStyle w:val="Balk3"/>
        <w:numPr>
          <w:ilvl w:val="0"/>
          <w:numId w:val="0"/>
        </w:numPr>
        <w:ind w:left="142"/>
      </w:pPr>
      <w:r w:rsidRPr="0093784E">
        <w:t xml:space="preserve">17.3 </w:t>
      </w:r>
      <w:r w:rsidR="0068234B" w:rsidRPr="0093784E">
        <w:t xml:space="preserve">All tenders must </w:t>
      </w:r>
      <w:r w:rsidR="000A21E4" w:rsidRPr="0093784E">
        <w:t>be sent to t</w:t>
      </w:r>
      <w:r w:rsidR="0068234B" w:rsidRPr="0093784E">
        <w:t xml:space="preserve">he </w:t>
      </w:r>
      <w:r w:rsidR="00D3192F" w:rsidRPr="0093784E">
        <w:t>c</w:t>
      </w:r>
      <w:r w:rsidR="0068234B" w:rsidRPr="0093784E">
        <w:t xml:space="preserve">ontracting </w:t>
      </w:r>
      <w:r w:rsidR="00D3192F" w:rsidRPr="0093784E">
        <w:t>a</w:t>
      </w:r>
      <w:r w:rsidR="0068234B" w:rsidRPr="0093784E">
        <w:t>uthority before the deadline s</w:t>
      </w:r>
      <w:r w:rsidR="00DB7E68" w:rsidRPr="0093784E">
        <w:t>et</w:t>
      </w:r>
      <w:r w:rsidR="0068234B" w:rsidRPr="0093784E">
        <w:t xml:space="preserve"> in the </w:t>
      </w:r>
      <w:r w:rsidR="00D3192F" w:rsidRPr="0093784E">
        <w:t>c</w:t>
      </w:r>
      <w:r w:rsidR="001F2D2F" w:rsidRPr="0093784E">
        <w:t>ontract notice</w:t>
      </w:r>
      <w:r w:rsidR="000A21E4" w:rsidRPr="0093784E">
        <w:t>.</w:t>
      </w:r>
    </w:p>
    <w:p w14:paraId="1E14AFCB" w14:textId="77777777" w:rsidR="0026034F" w:rsidRPr="0093784E" w:rsidRDefault="0026034F" w:rsidP="000A7BE8"/>
    <w:p w14:paraId="1AA8B67F" w14:textId="77777777" w:rsidR="0026034F" w:rsidRPr="0093784E" w:rsidRDefault="0026034F" w:rsidP="000A7BE8">
      <w:r w:rsidRPr="0093784E">
        <w:t xml:space="preserve">Participants may choose to submit </w:t>
      </w:r>
      <w:r w:rsidR="00372429" w:rsidRPr="0093784E">
        <w:t xml:space="preserve">their </w:t>
      </w:r>
      <w:proofErr w:type="gramStart"/>
      <w:r w:rsidR="00372429" w:rsidRPr="0093784E">
        <w:t>tender</w:t>
      </w:r>
      <w:r w:rsidRPr="0093784E">
        <w:t xml:space="preserve"> :</w:t>
      </w:r>
      <w:proofErr w:type="gramEnd"/>
      <w:r w:rsidRPr="0093784E">
        <w:t xml:space="preserve"> </w:t>
      </w:r>
    </w:p>
    <w:p w14:paraId="556DDF02" w14:textId="77777777" w:rsidR="0026034F" w:rsidRPr="000F1C89" w:rsidRDefault="0026034F" w:rsidP="000A7BE8">
      <w:r w:rsidRPr="0093784E">
        <w:t>(a) either by post or by courier service, in which case the evidence shall be constituted by the postmark or the date of the deposit slip</w:t>
      </w:r>
      <w:r w:rsidR="000A21E4" w:rsidRPr="0093784E">
        <w:rPr>
          <w:rStyle w:val="DipnotBavurusu"/>
        </w:rPr>
        <w:footnoteReference w:id="2"/>
      </w:r>
      <w:r w:rsidRPr="0093784E">
        <w:rPr>
          <w:b/>
        </w:rPr>
        <w:t xml:space="preserve">. </w:t>
      </w:r>
      <w:r w:rsidRPr="0093784E">
        <w:t>In such case</w:t>
      </w:r>
      <w:r w:rsidRPr="0093784E">
        <w:rPr>
          <w:b/>
        </w:rPr>
        <w:t xml:space="preserve">, </w:t>
      </w:r>
      <w:r w:rsidR="00D3192F" w:rsidRPr="0093784E">
        <w:t>t</w:t>
      </w:r>
      <w:r w:rsidRPr="0093784E">
        <w:t>he tender must be sent to the following address:</w:t>
      </w:r>
    </w:p>
    <w:p w14:paraId="3F0AC495" w14:textId="38D5FBC9" w:rsidR="00BD002E" w:rsidRPr="003E161D" w:rsidRDefault="00BD002E" w:rsidP="00BD002E">
      <w:pPr>
        <w:spacing w:after="0"/>
        <w:jc w:val="center"/>
        <w:rPr>
          <w:b/>
          <w:bCs/>
          <w:snapToGrid/>
          <w:szCs w:val="22"/>
          <w:lang w:eastAsia="en-GB"/>
        </w:rPr>
      </w:pPr>
      <w:r w:rsidRPr="003E161D">
        <w:rPr>
          <w:b/>
          <w:bCs/>
          <w:snapToGrid/>
          <w:szCs w:val="22"/>
          <w:lang w:eastAsia="en-GB"/>
        </w:rPr>
        <w:t>MUNICPALI</w:t>
      </w:r>
      <w:r w:rsidR="003E161D" w:rsidRPr="003E161D">
        <w:rPr>
          <w:b/>
          <w:bCs/>
          <w:snapToGrid/>
          <w:szCs w:val="22"/>
          <w:lang w:eastAsia="en-GB"/>
        </w:rPr>
        <w:t>TY OF KESHAN</w:t>
      </w:r>
    </w:p>
    <w:p w14:paraId="73AE1A45" w14:textId="40B5DC56" w:rsidR="0026034F" w:rsidRPr="003E161D" w:rsidRDefault="00BD002E" w:rsidP="003E161D">
      <w:pPr>
        <w:spacing w:after="0"/>
        <w:jc w:val="center"/>
        <w:rPr>
          <w:snapToGrid/>
          <w:szCs w:val="22"/>
          <w:lang w:eastAsia="en-GB"/>
        </w:rPr>
      </w:pPr>
      <w:r w:rsidRPr="00002E38">
        <w:rPr>
          <w:snapToGrid/>
          <w:szCs w:val="22"/>
          <w:lang w:eastAsia="en-GB"/>
        </w:rPr>
        <w:br/>
        <w:t xml:space="preserve">Address: </w:t>
      </w:r>
      <w:proofErr w:type="spellStart"/>
      <w:r w:rsidRPr="00002E38">
        <w:rPr>
          <w:snapToGrid/>
          <w:szCs w:val="22"/>
          <w:lang w:eastAsia="en-GB"/>
        </w:rPr>
        <w:t>Kültür</w:t>
      </w:r>
      <w:proofErr w:type="spellEnd"/>
      <w:r w:rsidRPr="00002E38">
        <w:rPr>
          <w:snapToGrid/>
          <w:szCs w:val="22"/>
          <w:lang w:eastAsia="en-GB"/>
        </w:rPr>
        <w:t xml:space="preserve"> </w:t>
      </w:r>
      <w:proofErr w:type="spellStart"/>
      <w:r w:rsidRPr="00002E38">
        <w:rPr>
          <w:snapToGrid/>
          <w:szCs w:val="22"/>
          <w:lang w:eastAsia="en-GB"/>
        </w:rPr>
        <w:t>ve</w:t>
      </w:r>
      <w:proofErr w:type="spellEnd"/>
      <w:r w:rsidRPr="00002E38">
        <w:rPr>
          <w:snapToGrid/>
          <w:szCs w:val="22"/>
          <w:lang w:eastAsia="en-GB"/>
        </w:rPr>
        <w:t xml:space="preserve"> </w:t>
      </w:r>
      <w:proofErr w:type="spellStart"/>
      <w:r w:rsidRPr="00002E38">
        <w:rPr>
          <w:snapToGrid/>
          <w:szCs w:val="22"/>
          <w:lang w:eastAsia="en-GB"/>
        </w:rPr>
        <w:t>Sosyal</w:t>
      </w:r>
      <w:proofErr w:type="spellEnd"/>
      <w:r w:rsidRPr="00002E38">
        <w:rPr>
          <w:snapToGrid/>
          <w:szCs w:val="22"/>
          <w:lang w:eastAsia="en-GB"/>
        </w:rPr>
        <w:t xml:space="preserve"> </w:t>
      </w:r>
      <w:proofErr w:type="spellStart"/>
      <w:r w:rsidRPr="00002E38">
        <w:rPr>
          <w:snapToGrid/>
          <w:szCs w:val="22"/>
          <w:lang w:eastAsia="en-GB"/>
        </w:rPr>
        <w:t>İşler</w:t>
      </w:r>
      <w:proofErr w:type="spellEnd"/>
      <w:r w:rsidRPr="00002E38">
        <w:rPr>
          <w:snapToGrid/>
          <w:szCs w:val="22"/>
          <w:lang w:eastAsia="en-GB"/>
        </w:rPr>
        <w:t xml:space="preserve"> </w:t>
      </w:r>
      <w:proofErr w:type="spellStart"/>
      <w:r w:rsidRPr="00002E38">
        <w:rPr>
          <w:snapToGrid/>
          <w:szCs w:val="22"/>
          <w:lang w:eastAsia="en-GB"/>
        </w:rPr>
        <w:t>Müdürlüğü</w:t>
      </w:r>
      <w:proofErr w:type="spellEnd"/>
      <w:r w:rsidRPr="00002E38">
        <w:rPr>
          <w:snapToGrid/>
          <w:szCs w:val="22"/>
          <w:lang w:eastAsia="en-GB"/>
        </w:rPr>
        <w:t xml:space="preserve">, </w:t>
      </w:r>
      <w:proofErr w:type="spellStart"/>
      <w:r w:rsidRPr="00002E38">
        <w:rPr>
          <w:szCs w:val="22"/>
        </w:rPr>
        <w:t>Yukarı</w:t>
      </w:r>
      <w:proofErr w:type="spellEnd"/>
      <w:r w:rsidRPr="00002E38">
        <w:rPr>
          <w:szCs w:val="22"/>
        </w:rPr>
        <w:t xml:space="preserve"> </w:t>
      </w:r>
      <w:proofErr w:type="spellStart"/>
      <w:r w:rsidRPr="00002E38">
        <w:rPr>
          <w:szCs w:val="22"/>
        </w:rPr>
        <w:t>Zaferiye</w:t>
      </w:r>
      <w:proofErr w:type="spellEnd"/>
      <w:r w:rsidRPr="00002E38">
        <w:rPr>
          <w:szCs w:val="22"/>
        </w:rPr>
        <w:t xml:space="preserve"> </w:t>
      </w:r>
      <w:proofErr w:type="spellStart"/>
      <w:r w:rsidRPr="00002E38">
        <w:rPr>
          <w:szCs w:val="22"/>
        </w:rPr>
        <w:t>Mahallesi</w:t>
      </w:r>
      <w:proofErr w:type="spellEnd"/>
      <w:r w:rsidRPr="00002E38">
        <w:rPr>
          <w:szCs w:val="22"/>
        </w:rPr>
        <w:t xml:space="preserve">, İlyas Bey Cad. No: 23 </w:t>
      </w:r>
      <w:proofErr w:type="spellStart"/>
      <w:r w:rsidRPr="00002E38">
        <w:rPr>
          <w:szCs w:val="22"/>
        </w:rPr>
        <w:t>Keşan</w:t>
      </w:r>
      <w:proofErr w:type="spellEnd"/>
      <w:r w:rsidRPr="00002E38">
        <w:rPr>
          <w:szCs w:val="22"/>
        </w:rPr>
        <w:t>, Edirne, postal code: 22800, Turkey</w:t>
      </w:r>
      <w:r w:rsidRPr="00002E38">
        <w:rPr>
          <w:snapToGrid/>
          <w:szCs w:val="22"/>
          <w:lang w:eastAsia="en-GB"/>
        </w:rPr>
        <w:br/>
      </w:r>
      <w:r w:rsidR="006D46E8" w:rsidRPr="002B370E">
        <w:rPr>
          <w:rStyle w:val="Vurgu"/>
          <w:szCs w:val="22"/>
        </w:rPr>
        <w:br/>
      </w:r>
      <w:r w:rsidR="006D46E8" w:rsidRPr="002B370E">
        <w:rPr>
          <w:szCs w:val="22"/>
        </w:rPr>
        <w:br/>
      </w:r>
    </w:p>
    <w:p w14:paraId="7932B256" w14:textId="77777777" w:rsidR="0026034F" w:rsidRPr="000F1C89" w:rsidRDefault="0026034F" w:rsidP="000A7BE8">
      <w:r w:rsidRPr="003E161D">
        <w:t xml:space="preserve">(b) </w:t>
      </w:r>
      <w:r w:rsidR="00CF4644" w:rsidRPr="003E161D">
        <w:t xml:space="preserve">or </w:t>
      </w:r>
      <w:r w:rsidRPr="003E161D">
        <w:t xml:space="preserve">by hand-delivery to the premises of the </w:t>
      </w:r>
      <w:r w:rsidR="000A21E4" w:rsidRPr="003E161D">
        <w:t xml:space="preserve">contracting </w:t>
      </w:r>
      <w:proofErr w:type="gramStart"/>
      <w:r w:rsidR="000A21E4" w:rsidRPr="003E161D">
        <w:t xml:space="preserve">authority </w:t>
      </w:r>
      <w:r w:rsidRPr="003E161D">
        <w:t xml:space="preserve"> by</w:t>
      </w:r>
      <w:proofErr w:type="gramEnd"/>
      <w:r w:rsidRPr="003E161D">
        <w:t xml:space="preserve"> the participant in person or by an agent, in which case the evidence shall be constituted by acknowledgment of receipt.  If tenders are hand </w:t>
      </w:r>
      <w:proofErr w:type="gramStart"/>
      <w:r w:rsidRPr="003E161D">
        <w:t>delivered</w:t>
      </w:r>
      <w:proofErr w:type="gramEnd"/>
      <w:r w:rsidRPr="003E161D">
        <w:t xml:space="preserve"> they should be delivered to the following address:</w:t>
      </w:r>
    </w:p>
    <w:p w14:paraId="4A79CA23" w14:textId="77777777" w:rsidR="003E161D" w:rsidRDefault="003E161D" w:rsidP="003E161D">
      <w:pPr>
        <w:spacing w:after="0"/>
        <w:jc w:val="center"/>
        <w:rPr>
          <w:b/>
          <w:bCs/>
          <w:snapToGrid/>
          <w:szCs w:val="22"/>
          <w:lang w:eastAsia="en-GB"/>
        </w:rPr>
      </w:pPr>
    </w:p>
    <w:p w14:paraId="054E454B" w14:textId="6CD1DF8B" w:rsidR="003E161D" w:rsidRPr="003E161D" w:rsidRDefault="003E161D" w:rsidP="003E161D">
      <w:pPr>
        <w:spacing w:after="0"/>
        <w:jc w:val="center"/>
        <w:rPr>
          <w:b/>
          <w:bCs/>
          <w:snapToGrid/>
          <w:szCs w:val="22"/>
          <w:lang w:eastAsia="en-GB"/>
        </w:rPr>
      </w:pPr>
      <w:r w:rsidRPr="003E161D">
        <w:rPr>
          <w:b/>
          <w:bCs/>
          <w:snapToGrid/>
          <w:szCs w:val="22"/>
          <w:lang w:eastAsia="en-GB"/>
        </w:rPr>
        <w:t>MUNICPALITY OF KESHAN</w:t>
      </w:r>
    </w:p>
    <w:p w14:paraId="6256C773" w14:textId="77777777" w:rsidR="003E161D" w:rsidRDefault="003E161D" w:rsidP="003E161D">
      <w:pPr>
        <w:pStyle w:val="Blockquote"/>
        <w:spacing w:before="120" w:after="120"/>
        <w:jc w:val="center"/>
        <w:rPr>
          <w:szCs w:val="22"/>
        </w:rPr>
      </w:pPr>
      <w:r w:rsidRPr="00002E38">
        <w:rPr>
          <w:snapToGrid/>
          <w:szCs w:val="22"/>
          <w:lang w:eastAsia="en-GB"/>
        </w:rPr>
        <w:br/>
        <w:t xml:space="preserve">Address: </w:t>
      </w:r>
      <w:proofErr w:type="spellStart"/>
      <w:r w:rsidRPr="00002E38">
        <w:rPr>
          <w:snapToGrid/>
          <w:szCs w:val="22"/>
          <w:lang w:eastAsia="en-GB"/>
        </w:rPr>
        <w:t>Kültür</w:t>
      </w:r>
      <w:proofErr w:type="spellEnd"/>
      <w:r w:rsidRPr="00002E38">
        <w:rPr>
          <w:snapToGrid/>
          <w:szCs w:val="22"/>
          <w:lang w:eastAsia="en-GB"/>
        </w:rPr>
        <w:t xml:space="preserve"> </w:t>
      </w:r>
      <w:proofErr w:type="spellStart"/>
      <w:r w:rsidRPr="00002E38">
        <w:rPr>
          <w:snapToGrid/>
          <w:szCs w:val="22"/>
          <w:lang w:eastAsia="en-GB"/>
        </w:rPr>
        <w:t>ve</w:t>
      </w:r>
      <w:proofErr w:type="spellEnd"/>
      <w:r w:rsidRPr="00002E38">
        <w:rPr>
          <w:snapToGrid/>
          <w:szCs w:val="22"/>
          <w:lang w:eastAsia="en-GB"/>
        </w:rPr>
        <w:t xml:space="preserve"> </w:t>
      </w:r>
      <w:proofErr w:type="spellStart"/>
      <w:r w:rsidRPr="00002E38">
        <w:rPr>
          <w:snapToGrid/>
          <w:szCs w:val="22"/>
          <w:lang w:eastAsia="en-GB"/>
        </w:rPr>
        <w:t>Sosyal</w:t>
      </w:r>
      <w:proofErr w:type="spellEnd"/>
      <w:r w:rsidRPr="00002E38">
        <w:rPr>
          <w:snapToGrid/>
          <w:szCs w:val="22"/>
          <w:lang w:eastAsia="en-GB"/>
        </w:rPr>
        <w:t xml:space="preserve"> </w:t>
      </w:r>
      <w:proofErr w:type="spellStart"/>
      <w:r w:rsidRPr="00002E38">
        <w:rPr>
          <w:snapToGrid/>
          <w:szCs w:val="22"/>
          <w:lang w:eastAsia="en-GB"/>
        </w:rPr>
        <w:t>İşler</w:t>
      </w:r>
      <w:proofErr w:type="spellEnd"/>
      <w:r w:rsidRPr="00002E38">
        <w:rPr>
          <w:snapToGrid/>
          <w:szCs w:val="22"/>
          <w:lang w:eastAsia="en-GB"/>
        </w:rPr>
        <w:t xml:space="preserve"> </w:t>
      </w:r>
      <w:proofErr w:type="spellStart"/>
      <w:r w:rsidRPr="00002E38">
        <w:rPr>
          <w:snapToGrid/>
          <w:szCs w:val="22"/>
          <w:lang w:eastAsia="en-GB"/>
        </w:rPr>
        <w:t>Müdürlüğü</w:t>
      </w:r>
      <w:proofErr w:type="spellEnd"/>
      <w:r w:rsidRPr="00002E38">
        <w:rPr>
          <w:snapToGrid/>
          <w:szCs w:val="22"/>
          <w:lang w:eastAsia="en-GB"/>
        </w:rPr>
        <w:t xml:space="preserve">, </w:t>
      </w:r>
      <w:proofErr w:type="spellStart"/>
      <w:r w:rsidRPr="00002E38">
        <w:rPr>
          <w:szCs w:val="22"/>
        </w:rPr>
        <w:t>Yukarı</w:t>
      </w:r>
      <w:proofErr w:type="spellEnd"/>
      <w:r w:rsidRPr="00002E38">
        <w:rPr>
          <w:szCs w:val="22"/>
        </w:rPr>
        <w:t xml:space="preserve"> </w:t>
      </w:r>
      <w:proofErr w:type="spellStart"/>
      <w:r w:rsidRPr="00002E38">
        <w:rPr>
          <w:szCs w:val="22"/>
        </w:rPr>
        <w:t>Zaferiye</w:t>
      </w:r>
      <w:proofErr w:type="spellEnd"/>
      <w:r w:rsidRPr="00002E38">
        <w:rPr>
          <w:szCs w:val="22"/>
        </w:rPr>
        <w:t xml:space="preserve"> </w:t>
      </w:r>
      <w:proofErr w:type="spellStart"/>
      <w:r w:rsidRPr="00002E38">
        <w:rPr>
          <w:szCs w:val="22"/>
        </w:rPr>
        <w:t>Mahallesi</w:t>
      </w:r>
      <w:proofErr w:type="spellEnd"/>
      <w:r w:rsidRPr="00002E38">
        <w:rPr>
          <w:szCs w:val="22"/>
        </w:rPr>
        <w:t xml:space="preserve">, İlyas Bey Cad. No: 23 </w:t>
      </w:r>
      <w:proofErr w:type="spellStart"/>
      <w:r w:rsidRPr="00002E38">
        <w:rPr>
          <w:szCs w:val="22"/>
        </w:rPr>
        <w:t>Keşan</w:t>
      </w:r>
      <w:proofErr w:type="spellEnd"/>
      <w:r w:rsidRPr="00002E38">
        <w:rPr>
          <w:szCs w:val="22"/>
        </w:rPr>
        <w:t>, Edirne, postal code: 22800, Turkey</w:t>
      </w:r>
    </w:p>
    <w:p w14:paraId="362E7A65" w14:textId="73FC1C04" w:rsidR="003E161D" w:rsidRPr="00631767" w:rsidRDefault="003E161D" w:rsidP="003E161D">
      <w:pPr>
        <w:widowControl w:val="0"/>
        <w:spacing w:before="100" w:after="100"/>
        <w:ind w:left="360" w:right="360"/>
        <w:jc w:val="center"/>
        <w:rPr>
          <w:szCs w:val="22"/>
        </w:rPr>
      </w:pPr>
      <w:r w:rsidRPr="00631767">
        <w:rPr>
          <w:szCs w:val="22"/>
        </w:rPr>
        <w:t xml:space="preserve">Opening hours: </w:t>
      </w:r>
      <w:r>
        <w:rPr>
          <w:szCs w:val="22"/>
          <w:lang w:val="tr-TR"/>
        </w:rPr>
        <w:t>8</w:t>
      </w:r>
      <w:r>
        <w:rPr>
          <w:szCs w:val="22"/>
          <w:lang w:val="bg-BG"/>
        </w:rPr>
        <w:t>:</w:t>
      </w:r>
      <w:r>
        <w:rPr>
          <w:szCs w:val="22"/>
          <w:lang w:val="tr-TR"/>
        </w:rPr>
        <w:t>3</w:t>
      </w:r>
      <w:r>
        <w:rPr>
          <w:szCs w:val="22"/>
          <w:lang w:val="bg-BG"/>
        </w:rPr>
        <w:t>0</w:t>
      </w:r>
      <w:r w:rsidRPr="00631767">
        <w:rPr>
          <w:szCs w:val="22"/>
        </w:rPr>
        <w:t xml:space="preserve">h, local time – </w:t>
      </w:r>
      <w:r>
        <w:rPr>
          <w:szCs w:val="22"/>
          <w:lang w:val="bg-BG"/>
        </w:rPr>
        <w:t>1</w:t>
      </w:r>
      <w:r>
        <w:rPr>
          <w:szCs w:val="22"/>
          <w:lang w:val="tr-TR"/>
        </w:rPr>
        <w:t>7</w:t>
      </w:r>
      <w:r>
        <w:rPr>
          <w:szCs w:val="22"/>
          <w:lang w:val="bg-BG"/>
        </w:rPr>
        <w:t>:00</w:t>
      </w:r>
      <w:r w:rsidRPr="00631767">
        <w:rPr>
          <w:szCs w:val="22"/>
        </w:rPr>
        <w:t xml:space="preserve">h, local time </w:t>
      </w:r>
    </w:p>
    <w:p w14:paraId="309FD274" w14:textId="2F33692E" w:rsidR="006D46E8" w:rsidRDefault="003E161D" w:rsidP="003E161D">
      <w:pPr>
        <w:pStyle w:val="Blockquote"/>
        <w:spacing w:before="120" w:after="120"/>
        <w:jc w:val="center"/>
        <w:rPr>
          <w:rStyle w:val="Gl"/>
          <w:szCs w:val="22"/>
        </w:rPr>
      </w:pPr>
      <w:r w:rsidRPr="00002E38">
        <w:rPr>
          <w:snapToGrid/>
          <w:szCs w:val="22"/>
          <w:lang w:eastAsia="en-GB"/>
        </w:rPr>
        <w:br/>
      </w:r>
      <w:r w:rsidR="006D46E8" w:rsidRPr="002B370E">
        <w:rPr>
          <w:rStyle w:val="Vurgu"/>
          <w:szCs w:val="22"/>
        </w:rPr>
        <w:br/>
      </w:r>
      <w:r w:rsidR="006D46E8" w:rsidRPr="002B370E">
        <w:rPr>
          <w:szCs w:val="22"/>
        </w:rPr>
        <w:lastRenderedPageBreak/>
        <w:br/>
      </w:r>
    </w:p>
    <w:p w14:paraId="7E597DA9" w14:textId="531780DC" w:rsidR="0026034F" w:rsidRPr="003E161D" w:rsidRDefault="00CF4644" w:rsidP="00C7466B">
      <w:r w:rsidRPr="003E161D">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3E161D">
        <w:t xml:space="preserve"> </w:t>
      </w:r>
      <w:r w:rsidRPr="003E161D">
        <w:t>or jeopardise decisions already taken and notified.</w:t>
      </w:r>
    </w:p>
    <w:p w14:paraId="2EC62429" w14:textId="4A9377EE" w:rsidR="0068234B" w:rsidRPr="003E161D" w:rsidRDefault="003A5D59" w:rsidP="00D2731E">
      <w:pPr>
        <w:pStyle w:val="Balk3"/>
        <w:numPr>
          <w:ilvl w:val="0"/>
          <w:numId w:val="0"/>
        </w:numPr>
        <w:ind w:left="862" w:hanging="720"/>
      </w:pPr>
      <w:r w:rsidRPr="003E161D">
        <w:t xml:space="preserve">17.4 </w:t>
      </w:r>
      <w:r w:rsidR="0068234B" w:rsidRPr="003E161D">
        <w:t>Tenders, including annexes and all supporting documents, must be submitted in a sealed envelope bearing only:</w:t>
      </w:r>
    </w:p>
    <w:p w14:paraId="02660ADF" w14:textId="77777777" w:rsidR="0068234B" w:rsidRPr="003E161D" w:rsidRDefault="0068234B" w:rsidP="00BB3EB3">
      <w:pPr>
        <w:numPr>
          <w:ilvl w:val="0"/>
          <w:numId w:val="10"/>
        </w:numPr>
        <w:ind w:left="1560"/>
      </w:pPr>
      <w:r w:rsidRPr="003E161D">
        <w:t xml:space="preserve">the above </w:t>
      </w:r>
      <w:proofErr w:type="gramStart"/>
      <w:r w:rsidRPr="003E161D">
        <w:t>address;</w:t>
      </w:r>
      <w:proofErr w:type="gramEnd"/>
    </w:p>
    <w:p w14:paraId="1FBBB58D" w14:textId="1703A02C" w:rsidR="0068234B" w:rsidRPr="003E161D" w:rsidRDefault="0068234B" w:rsidP="00BB3EB3">
      <w:pPr>
        <w:numPr>
          <w:ilvl w:val="0"/>
          <w:numId w:val="10"/>
        </w:numPr>
        <w:ind w:left="1560"/>
      </w:pPr>
      <w:r w:rsidRPr="003E161D">
        <w:t>the reference code of this tender procedure, (i.e., &lt;</w:t>
      </w:r>
      <w:r w:rsidR="003E161D" w:rsidRPr="003E161D">
        <w:rPr>
          <w:b/>
          <w:bCs/>
        </w:rPr>
        <w:t>CB005.2.21.114-PP2-Works 1</w:t>
      </w:r>
      <w:r w:rsidRPr="003E161D">
        <w:t>&gt;</w:t>
      </w:r>
      <w:proofErr w:type="gramStart"/>
      <w:r w:rsidRPr="003E161D">
        <w:t>);</w:t>
      </w:r>
      <w:proofErr w:type="gramEnd"/>
    </w:p>
    <w:p w14:paraId="7F309FF6" w14:textId="77777777" w:rsidR="0068234B" w:rsidRPr="003E161D" w:rsidRDefault="0068234B" w:rsidP="00BB3EB3">
      <w:pPr>
        <w:numPr>
          <w:ilvl w:val="0"/>
          <w:numId w:val="10"/>
        </w:numPr>
        <w:ind w:left="1560"/>
      </w:pPr>
      <w:r w:rsidRPr="003E161D">
        <w:t xml:space="preserve">where applicable, the number of the lot(s) tendered </w:t>
      </w:r>
      <w:proofErr w:type="gramStart"/>
      <w:r w:rsidRPr="003E161D">
        <w:t>for;</w:t>
      </w:r>
      <w:proofErr w:type="gramEnd"/>
    </w:p>
    <w:p w14:paraId="0775AAFD" w14:textId="178E7F3E" w:rsidR="0068234B" w:rsidRPr="003E161D" w:rsidRDefault="0068234B" w:rsidP="00BB3EB3">
      <w:pPr>
        <w:numPr>
          <w:ilvl w:val="0"/>
          <w:numId w:val="10"/>
        </w:numPr>
        <w:ind w:left="1560"/>
      </w:pPr>
      <w:r w:rsidRPr="003E161D">
        <w:t xml:space="preserve">the words </w:t>
      </w:r>
      <w:r w:rsidR="00E725FE" w:rsidRPr="003E161D">
        <w:t>‘</w:t>
      </w:r>
      <w:r w:rsidRPr="003E161D">
        <w:t>Not to be opened before the tender opening session</w:t>
      </w:r>
      <w:r w:rsidR="00E725FE" w:rsidRPr="003E161D">
        <w:t>’</w:t>
      </w:r>
      <w:r w:rsidRPr="003E161D">
        <w:t xml:space="preserve"> in the language of the tender dossier and &lt;</w:t>
      </w:r>
      <w:proofErr w:type="spellStart"/>
      <w:r w:rsidR="003E161D" w:rsidRPr="003E161D">
        <w:t>İhale</w:t>
      </w:r>
      <w:proofErr w:type="spellEnd"/>
      <w:r w:rsidR="003E161D" w:rsidRPr="003E161D">
        <w:t xml:space="preserve"> </w:t>
      </w:r>
      <w:proofErr w:type="spellStart"/>
      <w:r w:rsidR="003E161D" w:rsidRPr="003E161D">
        <w:t>Açılış</w:t>
      </w:r>
      <w:proofErr w:type="spellEnd"/>
      <w:r w:rsidR="003E161D" w:rsidRPr="003E161D">
        <w:t xml:space="preserve"> </w:t>
      </w:r>
      <w:proofErr w:type="spellStart"/>
      <w:r w:rsidR="003E161D" w:rsidRPr="003E161D">
        <w:t>Oturumundan</w:t>
      </w:r>
      <w:proofErr w:type="spellEnd"/>
      <w:r w:rsidR="003E161D" w:rsidRPr="003E161D">
        <w:t xml:space="preserve"> </w:t>
      </w:r>
      <w:proofErr w:type="spellStart"/>
      <w:r w:rsidR="003E161D" w:rsidRPr="003E161D">
        <w:t>Önce</w:t>
      </w:r>
      <w:proofErr w:type="spellEnd"/>
      <w:r w:rsidR="003E161D" w:rsidRPr="003E161D">
        <w:t xml:space="preserve"> </w:t>
      </w:r>
      <w:proofErr w:type="spellStart"/>
      <w:r w:rsidR="003E161D" w:rsidRPr="003E161D">
        <w:t>Açmayınız</w:t>
      </w:r>
      <w:proofErr w:type="spellEnd"/>
      <w:r w:rsidRPr="003E161D">
        <w:t>&gt;.</w:t>
      </w:r>
    </w:p>
    <w:p w14:paraId="482D60E2" w14:textId="7CD3E602" w:rsidR="0068234B" w:rsidRPr="003E161D" w:rsidRDefault="0068234B" w:rsidP="00BB3EB3">
      <w:pPr>
        <w:numPr>
          <w:ilvl w:val="0"/>
          <w:numId w:val="10"/>
        </w:numPr>
        <w:ind w:left="1560"/>
      </w:pPr>
      <w:r w:rsidRPr="003E161D">
        <w:t>the name of the tenderer.</w:t>
      </w:r>
      <w:r w:rsidR="0094335F" w:rsidRPr="003E161D">
        <w:t>]</w:t>
      </w:r>
    </w:p>
    <w:p w14:paraId="0FEAA80E" w14:textId="77777777" w:rsidR="0068234B" w:rsidRPr="000F1C89" w:rsidRDefault="00E47308" w:rsidP="00D2731E">
      <w:pPr>
        <w:pStyle w:val="Balk2"/>
        <w:numPr>
          <w:ilvl w:val="0"/>
          <w:numId w:val="0"/>
        </w:numPr>
        <w:ind w:left="576" w:hanging="576"/>
      </w:pPr>
      <w:bookmarkStart w:id="25" w:name="_Toc529523973"/>
      <w:r>
        <w:t>18.</w:t>
      </w:r>
      <w:r>
        <w:tab/>
      </w:r>
      <w:r w:rsidR="0068234B" w:rsidRPr="000F1C89">
        <w:t>EXTENSION OF THE DEADLINE FOR SUBMI</w:t>
      </w:r>
      <w:r w:rsidR="00FF1C64" w:rsidRPr="000F1C89">
        <w:t>TTING</w:t>
      </w:r>
      <w:r w:rsidR="0068234B" w:rsidRPr="000F1C89">
        <w:t xml:space="preserve"> TENDERS</w:t>
      </w:r>
      <w:bookmarkEnd w:id="25"/>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77777777" w:rsidR="0068234B" w:rsidRPr="000F1C89" w:rsidRDefault="00E47308" w:rsidP="00D2731E">
      <w:pPr>
        <w:pStyle w:val="Balk2"/>
        <w:numPr>
          <w:ilvl w:val="0"/>
          <w:numId w:val="0"/>
        </w:numPr>
        <w:ind w:left="576" w:hanging="576"/>
      </w:pPr>
      <w:bookmarkStart w:id="26" w:name="_Toc529523974"/>
      <w:r>
        <w:t>19.</w:t>
      </w:r>
      <w:r>
        <w:tab/>
      </w:r>
      <w:r w:rsidR="0068234B" w:rsidRPr="000F1C89">
        <w:t>LATE TENDERS</w:t>
      </w:r>
      <w:bookmarkEnd w:id="26"/>
    </w:p>
    <w:p w14:paraId="3930D6E7" w14:textId="102C1576" w:rsidR="0068234B" w:rsidRPr="000F1C89" w:rsidRDefault="00E47308" w:rsidP="000A7BE8">
      <w:pPr>
        <w:pStyle w:val="Balk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w:t>
      </w:r>
    </w:p>
    <w:p w14:paraId="21B131CA" w14:textId="60825C00" w:rsidR="0068234B" w:rsidRPr="000F1C89" w:rsidRDefault="00E47308" w:rsidP="00D2731E">
      <w:pPr>
        <w:pStyle w:val="Balk3"/>
        <w:numPr>
          <w:ilvl w:val="0"/>
          <w:numId w:val="0"/>
        </w:numPr>
        <w:ind w:left="720" w:hanging="720"/>
      </w:pPr>
      <w:r>
        <w:t>19.2</w:t>
      </w:r>
      <w:r w:rsidR="003A5D59">
        <w:t xml:space="preserve">   </w:t>
      </w:r>
      <w:r w:rsidR="0068234B" w:rsidRPr="000F1C89">
        <w:t>No liability can be accepted for late delivery of tenders. Late tenders will be rejected and will not</w:t>
      </w:r>
      <w:r w:rsidR="003A5D59">
        <w:t xml:space="preserve"> </w:t>
      </w:r>
      <w:r w:rsidR="0068234B" w:rsidRPr="000F1C89">
        <w:t>be evaluated.</w:t>
      </w:r>
    </w:p>
    <w:p w14:paraId="25CFCC01" w14:textId="77777777" w:rsidR="0068234B" w:rsidRPr="000F1C89" w:rsidRDefault="00E47308" w:rsidP="00D2731E">
      <w:pPr>
        <w:pStyle w:val="Balk2"/>
        <w:numPr>
          <w:ilvl w:val="0"/>
          <w:numId w:val="0"/>
        </w:numPr>
        <w:ind w:left="576" w:hanging="576"/>
      </w:pPr>
      <w:bookmarkStart w:id="27"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7"/>
    </w:p>
    <w:p w14:paraId="37685F75" w14:textId="7CBB9E2C" w:rsidR="00E85A3F" w:rsidRDefault="00CB381A" w:rsidP="00D2731E">
      <w:pPr>
        <w:pStyle w:val="Balk3"/>
        <w:numPr>
          <w:ilvl w:val="0"/>
          <w:numId w:val="0"/>
        </w:numPr>
        <w:ind w:left="720" w:hanging="720"/>
      </w:pPr>
      <w:r>
        <w:t xml:space="preserve">20.1 </w:t>
      </w:r>
    </w:p>
    <w:p w14:paraId="1BDF811E" w14:textId="7DB9042B" w:rsidR="00CB381A" w:rsidRPr="00BB3EB3" w:rsidRDefault="0068234B" w:rsidP="003E161D">
      <w:pPr>
        <w:pStyle w:val="Balk3"/>
        <w:numPr>
          <w:ilvl w:val="0"/>
          <w:numId w:val="0"/>
        </w:numPr>
        <w:ind w:left="142"/>
        <w:rPr>
          <w:highlight w:val="lightGray"/>
        </w:rPr>
      </w:pPr>
      <w:r w:rsidRPr="003E161D">
        <w:t>Tenderers may alter or withdraw their tenders by written notification prior to the above deadline. No</w:t>
      </w:r>
      <w:r w:rsidR="004A1BB1" w:rsidRPr="003E161D">
        <w:t xml:space="preserve"> </w:t>
      </w:r>
      <w:r w:rsidRPr="003E161D">
        <w:t>tender may be altered after the deadline for submission. Withdrawals must be unconditional and will end all participation in the tender procedure</w:t>
      </w:r>
    </w:p>
    <w:p w14:paraId="2FD20FFE" w14:textId="44AFF199" w:rsidR="0068234B" w:rsidRPr="00CB381A" w:rsidRDefault="00CB381A" w:rsidP="00D2731E">
      <w:pPr>
        <w:pStyle w:val="Balk3"/>
        <w:numPr>
          <w:ilvl w:val="0"/>
          <w:numId w:val="0"/>
        </w:numPr>
        <w:ind w:left="720" w:hanging="720"/>
      </w:pPr>
      <w:r w:rsidRPr="003E161D">
        <w:t>20.2</w:t>
      </w:r>
      <w:r w:rsidRPr="003E161D">
        <w:rPr>
          <w:snapToGrid w:val="0"/>
        </w:rPr>
        <w:t xml:space="preserve"> Any notification of alteration or withdrawal must be prepared and submitted in accordance with Clause 17, and the envelope must be marked ‘alteration’ or ‘withdrawal’, as appropriate</w:t>
      </w:r>
      <w:r w:rsidRPr="003E161D">
        <w:t>.</w:t>
      </w:r>
    </w:p>
    <w:p w14:paraId="5895A986" w14:textId="7642F8EF" w:rsidR="0068234B" w:rsidRPr="000F1C89" w:rsidRDefault="00E47308" w:rsidP="00D2731E">
      <w:pPr>
        <w:pStyle w:val="Balk3"/>
        <w:numPr>
          <w:ilvl w:val="0"/>
          <w:numId w:val="0"/>
        </w:numPr>
        <w:ind w:left="720" w:hanging="720"/>
      </w:pPr>
      <w:r>
        <w:lastRenderedPageBreak/>
        <w:t>20.</w:t>
      </w:r>
      <w:r w:rsidR="00CB381A">
        <w:t xml:space="preserve">3 </w:t>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2731E">
      <w:pPr>
        <w:pStyle w:val="Balk1"/>
        <w:numPr>
          <w:ilvl w:val="0"/>
          <w:numId w:val="0"/>
        </w:numPr>
        <w:ind w:left="420"/>
      </w:pPr>
      <w:bookmarkStart w:id="28" w:name="_Toc529523976"/>
      <w:r w:rsidRPr="000F1C89">
        <w:t>OPENING AND EVALUATIN</w:t>
      </w:r>
      <w:r w:rsidR="00FF1C64" w:rsidRPr="000F1C89">
        <w:t>G</w:t>
      </w:r>
      <w:r w:rsidRPr="000F1C89">
        <w:t xml:space="preserve"> TENDERS</w:t>
      </w:r>
      <w:bookmarkEnd w:id="28"/>
    </w:p>
    <w:p w14:paraId="7C4D2000" w14:textId="77777777" w:rsidR="0068234B" w:rsidRPr="000F1C89" w:rsidRDefault="00E47308" w:rsidP="00D2731E">
      <w:pPr>
        <w:pStyle w:val="Balk2"/>
        <w:numPr>
          <w:ilvl w:val="0"/>
          <w:numId w:val="0"/>
        </w:numPr>
        <w:ind w:left="576" w:hanging="576"/>
      </w:pPr>
      <w:bookmarkStart w:id="29" w:name="_Toc529523977"/>
      <w:r>
        <w:t>21.</w:t>
      </w:r>
      <w:r>
        <w:tab/>
      </w:r>
      <w:r w:rsidR="0068234B" w:rsidRPr="000F1C89">
        <w:t>OPENING TENDERS</w:t>
      </w:r>
      <w:bookmarkEnd w:id="29"/>
    </w:p>
    <w:p w14:paraId="35D1A766" w14:textId="604C8692" w:rsidR="0068234B" w:rsidRPr="000F1C89" w:rsidRDefault="00E47308" w:rsidP="000A7BE8">
      <w:pPr>
        <w:pStyle w:val="Balk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14:paraId="65BE7E96" w14:textId="65CB0CF3" w:rsidR="0094335F" w:rsidRDefault="00E47308" w:rsidP="000A7BE8">
      <w:pPr>
        <w:pStyle w:val="Balk3"/>
        <w:numPr>
          <w:ilvl w:val="0"/>
          <w:numId w:val="0"/>
        </w:numPr>
        <w:ind w:left="720" w:hanging="720"/>
      </w:pPr>
      <w:r>
        <w:t>21.2</w:t>
      </w:r>
      <w:r>
        <w:tab/>
      </w:r>
      <w:r w:rsidR="008C5BCA" w:rsidRPr="0061219E">
        <w:rPr>
          <w:snapToGrid w:val="0"/>
          <w:szCs w:val="20"/>
        </w:rPr>
        <w:t>The opening session should be held at least one week after the deadline for submission of tenders.</w:t>
      </w:r>
    </w:p>
    <w:p w14:paraId="470FBBC3" w14:textId="45BC83A9" w:rsidR="0068234B" w:rsidRPr="0061219E" w:rsidRDefault="0068234B" w:rsidP="00D2731E">
      <w:pPr>
        <w:pStyle w:val="Balk3"/>
        <w:numPr>
          <w:ilvl w:val="0"/>
          <w:numId w:val="0"/>
        </w:numPr>
        <w:ind w:left="720" w:hanging="11"/>
      </w:pPr>
      <w:r w:rsidRPr="000F1C89">
        <w:t xml:space="preserve">Tenders will be opened in public session </w:t>
      </w:r>
      <w:r w:rsidR="00891A55" w:rsidRPr="000F1C89">
        <w:t xml:space="preserve">by the </w:t>
      </w:r>
      <w:r w:rsidR="00891A55">
        <w:t xml:space="preserve">appointed </w:t>
      </w:r>
      <w:r w:rsidR="00891A55" w:rsidRPr="000F1C89">
        <w:t>committee</w:t>
      </w:r>
      <w:r w:rsidR="00891A55" w:rsidRPr="000F1C89" w:rsidDel="00891A55">
        <w:t xml:space="preserve"> </w:t>
      </w:r>
      <w:r w:rsidR="006F177A" w:rsidRPr="00E82463">
        <w:t xml:space="preserve">on </w:t>
      </w:r>
      <w:r w:rsidR="00891A55">
        <w:t xml:space="preserve">the </w:t>
      </w:r>
      <w:r w:rsidR="006F177A" w:rsidRPr="000367C9">
        <w:t>date</w:t>
      </w:r>
      <w:r w:rsidR="00891A55">
        <w:t xml:space="preserve"> and</w:t>
      </w:r>
      <w:r w:rsidR="006F177A" w:rsidRPr="000367C9">
        <w:t xml:space="preserve"> time and</w:t>
      </w:r>
      <w:r w:rsidR="00891A55">
        <w:t xml:space="preserve"> at the</w:t>
      </w:r>
      <w:r w:rsidR="006F177A" w:rsidRPr="000367C9">
        <w:t xml:space="preserve"> address specified in the </w:t>
      </w:r>
      <w:r w:rsidR="00891A55">
        <w:t>c</w:t>
      </w:r>
      <w:r w:rsidR="006F177A" w:rsidRPr="000367C9">
        <w:t xml:space="preserve">ontract </w:t>
      </w:r>
      <w:r w:rsidR="006F177A">
        <w:t>n</w:t>
      </w:r>
      <w:r w:rsidR="006F177A" w:rsidRPr="000367C9">
        <w:t xml:space="preserve">otice </w:t>
      </w:r>
      <w:r w:rsidR="006F177A">
        <w:t>(</w:t>
      </w:r>
      <w:r w:rsidR="006F177A" w:rsidRPr="000367C9">
        <w:t>IV.2.7</w:t>
      </w:r>
      <w:r w:rsidR="006F177A">
        <w:t>)</w:t>
      </w:r>
      <w:r w:rsidRPr="000F1C89">
        <w:t xml:space="preserve">. The committee will draw up minutes of the </w:t>
      </w:r>
      <w:r w:rsidRPr="0061219E">
        <w:t xml:space="preserve">meeting, which </w:t>
      </w:r>
      <w:r w:rsidR="004305FD" w:rsidRPr="0061219E">
        <w:t>must</w:t>
      </w:r>
      <w:r w:rsidRPr="0061219E">
        <w:t xml:space="preserve"> be available to tenderers on request.</w:t>
      </w:r>
    </w:p>
    <w:p w14:paraId="41A2FB29" w14:textId="344C5683" w:rsidR="008C5BCA" w:rsidRPr="0061219E" w:rsidRDefault="008C5BCA" w:rsidP="009E4665">
      <w:pPr>
        <w:spacing w:after="200"/>
        <w:ind w:left="709"/>
        <w:rPr>
          <w:snapToGrid/>
          <w:szCs w:val="22"/>
        </w:rPr>
      </w:pPr>
      <w:r w:rsidRPr="0061219E">
        <w:t xml:space="preserve">In the case that at the date of the opening session some tenders have not been delivered to the contracting </w:t>
      </w:r>
      <w:proofErr w:type="gramStart"/>
      <w:r w:rsidRPr="0061219E">
        <w:t>authority</w:t>
      </w:r>
      <w:proofErr w:type="gramEnd"/>
      <w:r w:rsidRPr="0061219E">
        <w:t xml:space="preserve">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77777777" w:rsidR="0068234B" w:rsidRPr="000F1C89" w:rsidRDefault="00E47308" w:rsidP="000A7BE8">
      <w:pPr>
        <w:pStyle w:val="Balk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3F25800" w14:textId="77777777" w:rsidR="0068234B" w:rsidRPr="000F1C89" w:rsidRDefault="00E47308" w:rsidP="000A7BE8">
      <w:pPr>
        <w:pStyle w:val="Balk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0F1C89" w:rsidRDefault="0068234B" w:rsidP="00D2731E">
      <w:pPr>
        <w:ind w:left="680"/>
      </w:pPr>
      <w:r w:rsidRPr="000F1C89">
        <w:t xml:space="preserve">Any attempt by a tenderer to influence the evaluation committee in the process of examination, clarification, </w:t>
      </w:r>
      <w:proofErr w:type="gramStart"/>
      <w:r w:rsidRPr="000F1C89">
        <w:t>evaluation</w:t>
      </w:r>
      <w:proofErr w:type="gramEnd"/>
      <w:r w:rsidRPr="000F1C89">
        <w:t xml:space="preserve">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82C7EA6" w14:textId="77777777" w:rsidR="0068234B" w:rsidRPr="000F1C89" w:rsidRDefault="00E47308" w:rsidP="00D2731E">
      <w:pPr>
        <w:pStyle w:val="Balk2"/>
        <w:numPr>
          <w:ilvl w:val="0"/>
          <w:numId w:val="0"/>
        </w:numPr>
        <w:ind w:left="576" w:hanging="576"/>
      </w:pPr>
      <w:bookmarkStart w:id="30" w:name="_Toc529523978"/>
      <w:r>
        <w:t>22.</w:t>
      </w:r>
      <w:r>
        <w:tab/>
      </w:r>
      <w:r w:rsidR="0068234B" w:rsidRPr="000F1C89">
        <w:t>EVALUATIN</w:t>
      </w:r>
      <w:r w:rsidR="00B93A84" w:rsidRPr="000F1C89">
        <w:t>G</w:t>
      </w:r>
      <w:r w:rsidR="0068234B" w:rsidRPr="000F1C89">
        <w:t xml:space="preserve"> TENDERS</w:t>
      </w:r>
      <w:bookmarkEnd w:id="30"/>
    </w:p>
    <w:p w14:paraId="0E038E3C"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C803E5F" w14:textId="558D6214" w:rsidR="0068234B" w:rsidRPr="000F1C89" w:rsidRDefault="00510D6D" w:rsidP="000A7BE8">
      <w:pPr>
        <w:pStyle w:val="Balk3"/>
        <w:numPr>
          <w:ilvl w:val="0"/>
          <w:numId w:val="0"/>
        </w:numPr>
        <w:ind w:left="720" w:hanging="720"/>
      </w:pPr>
      <w:r>
        <w:t>22.1</w:t>
      </w:r>
      <w:r w:rsidR="00CB381A">
        <w:t xml:space="preserve">   </w:t>
      </w:r>
      <w:r w:rsidR="0068234B" w:rsidRPr="000F1C89">
        <w:t>Examination of the administrative co</w:t>
      </w:r>
      <w:r w:rsidR="003721D9" w:rsidRPr="000F1C89">
        <w:t>mpliance</w:t>
      </w:r>
      <w:r w:rsidR="0068234B" w:rsidRPr="000F1C89">
        <w:t xml:space="preserve"> of tenders</w:t>
      </w:r>
    </w:p>
    <w:p w14:paraId="1EE58A72" w14:textId="77777777" w:rsidR="0068234B" w:rsidRPr="000F1C89" w:rsidRDefault="0068234B" w:rsidP="000A7BE8">
      <w:r w:rsidRPr="000F1C89">
        <w:lastRenderedPageBreak/>
        <w:t xml:space="preserve">The aim at this stage is to check that tenders comply with the requirements of the tender dossier. A tender is deemed to comply if it satisfies all the conditions, </w:t>
      </w:r>
      <w:proofErr w:type="gramStart"/>
      <w:r w:rsidRPr="000F1C89">
        <w:t>procedures</w:t>
      </w:r>
      <w:proofErr w:type="gramEnd"/>
      <w:r w:rsidRPr="000F1C89">
        <w:t xml:space="preserve">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w:t>
      </w:r>
      <w:proofErr w:type="gramStart"/>
      <w:r w:rsidRPr="000F1C89">
        <w:t>quality</w:t>
      </w:r>
      <w:proofErr w:type="gramEnd"/>
      <w:r w:rsidRPr="000F1C89">
        <w:t xml:space="preserve">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BB3EB3">
      <w:pPr>
        <w:numPr>
          <w:ilvl w:val="0"/>
          <w:numId w:val="11"/>
        </w:numPr>
        <w:spacing w:after="0"/>
        <w:ind w:left="1559" w:hanging="357"/>
      </w:pPr>
      <w:r w:rsidRPr="000F1C89">
        <w:t xml:space="preserve">has been properly </w:t>
      </w:r>
      <w:proofErr w:type="gramStart"/>
      <w:r w:rsidRPr="000F1C89">
        <w:t>signed;</w:t>
      </w:r>
      <w:proofErr w:type="gramEnd"/>
    </w:p>
    <w:p w14:paraId="33C818FC" w14:textId="77777777" w:rsidR="0068234B" w:rsidRPr="000F1C89" w:rsidRDefault="0068234B" w:rsidP="00BB3EB3">
      <w:pPr>
        <w:numPr>
          <w:ilvl w:val="0"/>
          <w:numId w:val="11"/>
        </w:numPr>
        <w:spacing w:after="0"/>
        <w:ind w:left="1559" w:hanging="357"/>
      </w:pPr>
      <w:r w:rsidRPr="000F1C89">
        <w:t>includes a correct tender guarantee (if required</w:t>
      </w:r>
      <w:proofErr w:type="gramStart"/>
      <w:r w:rsidRPr="000F1C89">
        <w:t>);</w:t>
      </w:r>
      <w:proofErr w:type="gramEnd"/>
    </w:p>
    <w:p w14:paraId="1E7355B0" w14:textId="77777777" w:rsidR="0068234B" w:rsidRPr="000F1C89" w:rsidRDefault="003721D9" w:rsidP="00BB3EB3">
      <w:pPr>
        <w:numPr>
          <w:ilvl w:val="0"/>
          <w:numId w:val="11"/>
        </w:numPr>
        <w:spacing w:after="0"/>
        <w:ind w:left="1559" w:hanging="357"/>
      </w:pPr>
      <w:r w:rsidRPr="000F1C89">
        <w:t xml:space="preserve">meets the requirements </w:t>
      </w:r>
      <w:r w:rsidR="0059510B" w:rsidRPr="000F1C89">
        <w:t>as set out</w:t>
      </w:r>
      <w:r w:rsidR="0068234B" w:rsidRPr="000F1C89">
        <w:t xml:space="preserve"> in the administrative compliance </w:t>
      </w:r>
      <w:proofErr w:type="gramStart"/>
      <w:r w:rsidR="0068234B" w:rsidRPr="000F1C89">
        <w:t>grid;</w:t>
      </w:r>
      <w:proofErr w:type="gramEnd"/>
    </w:p>
    <w:p w14:paraId="49AB081E" w14:textId="77777777" w:rsidR="0068234B" w:rsidRPr="000F1C89" w:rsidRDefault="0068234B" w:rsidP="00BB3EB3">
      <w:pPr>
        <w:numPr>
          <w:ilvl w:val="0"/>
          <w:numId w:val="11"/>
        </w:numPr>
        <w:spacing w:after="0"/>
        <w:ind w:left="1559" w:hanging="357"/>
      </w:pPr>
      <w:r w:rsidRPr="000F1C89">
        <w:t xml:space="preserve">has complete documentation and </w:t>
      </w:r>
      <w:proofErr w:type="gramStart"/>
      <w:r w:rsidRPr="000F1C89">
        <w:t>information;</w:t>
      </w:r>
      <w:proofErr w:type="gramEnd"/>
    </w:p>
    <w:p w14:paraId="4163562B" w14:textId="77777777" w:rsidR="0068234B" w:rsidRPr="000F1C89" w:rsidRDefault="0068234B" w:rsidP="00BB3EB3">
      <w:pPr>
        <w:numPr>
          <w:ilvl w:val="0"/>
          <w:numId w:val="11"/>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2BF88012" w:rsidR="0068234B" w:rsidRPr="000F1C89" w:rsidRDefault="00510D6D" w:rsidP="000A7BE8">
      <w:pPr>
        <w:pStyle w:val="Balk3"/>
        <w:numPr>
          <w:ilvl w:val="0"/>
          <w:numId w:val="0"/>
        </w:numPr>
        <w:ind w:left="720" w:hanging="720"/>
      </w:pPr>
      <w:r>
        <w:t>22.2</w:t>
      </w:r>
      <w:r w:rsidR="00CB381A">
        <w:t xml:space="preserve">   </w:t>
      </w:r>
      <w:r w:rsidR="0068234B" w:rsidRPr="000F1C89">
        <w:t>Technical evaluation</w:t>
      </w:r>
    </w:p>
    <w:p w14:paraId="0EB9C149" w14:textId="7755EE1B"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0738CF89" w14:textId="77777777" w:rsidR="0068234B" w:rsidRPr="0061219E"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w:t>
      </w:r>
      <w:r w:rsidRPr="0061219E">
        <w:t>non-compliant.</w:t>
      </w:r>
    </w:p>
    <w:p w14:paraId="727D96E0" w14:textId="2169D356" w:rsidR="00924B05" w:rsidRPr="000F1C89" w:rsidRDefault="00924B05" w:rsidP="000A7BE8">
      <w:r w:rsidRPr="0061219E">
        <w:t xml:space="preserve">Subsequently, the </w:t>
      </w:r>
      <w:r w:rsidR="00D3192F" w:rsidRPr="0061219E">
        <w:t>c</w:t>
      </w:r>
      <w:r w:rsidRPr="0061219E">
        <w:t xml:space="preserve">ommittee will evaluate the technically compliant offers in accordance with the technical evaluation grid (setting out the technical criteria, </w:t>
      </w:r>
      <w:proofErr w:type="spellStart"/>
      <w:r w:rsidRPr="0061219E">
        <w:t>subcriteria</w:t>
      </w:r>
      <w:proofErr w:type="spellEnd"/>
      <w:r w:rsidRPr="0061219E">
        <w:t xml:space="preserve"> and weightings) </w:t>
      </w:r>
      <w:r w:rsidR="00490927" w:rsidRPr="0061219E">
        <w:t xml:space="preserve">attached to </w:t>
      </w:r>
      <w:r w:rsidRPr="0061219E">
        <w:t>the tender dossier.</w:t>
      </w:r>
    </w:p>
    <w:p w14:paraId="5711FFEB" w14:textId="77777777" w:rsidR="0068234B" w:rsidRPr="000F1C89" w:rsidRDefault="00510D6D" w:rsidP="000A7BE8">
      <w:pPr>
        <w:pStyle w:val="Balk3"/>
        <w:numPr>
          <w:ilvl w:val="0"/>
          <w:numId w:val="0"/>
        </w:numPr>
        <w:ind w:left="142"/>
      </w:pPr>
      <w:r>
        <w:t xml:space="preserve">22.3 </w:t>
      </w:r>
      <w:r>
        <w:tab/>
      </w:r>
      <w:r w:rsidR="0068234B" w:rsidRPr="000F1C89">
        <w:t>Financial evaluation</w:t>
      </w:r>
    </w:p>
    <w:p w14:paraId="6893AD9D" w14:textId="77777777"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w:t>
      </w:r>
      <w:proofErr w:type="gramStart"/>
      <w:r w:rsidRPr="000F1C89">
        <w:t>on the basis of</w:t>
      </w:r>
      <w:proofErr w:type="gramEnd"/>
      <w:r w:rsidRPr="000F1C89">
        <w:t xml:space="preserve"> Clause 23.</w:t>
      </w:r>
      <w:r w:rsidR="002B596D" w:rsidRPr="000F1C89">
        <w:t xml:space="preserve"> </w:t>
      </w:r>
    </w:p>
    <w:p w14:paraId="0268B926" w14:textId="0DD6FC81" w:rsidR="00492E05" w:rsidRPr="0061219E" w:rsidRDefault="009E41DA" w:rsidP="0061219E">
      <w:pPr>
        <w:pStyle w:val="Balk3"/>
        <w:numPr>
          <w:ilvl w:val="0"/>
          <w:numId w:val="0"/>
        </w:numPr>
        <w:ind w:left="862" w:hanging="720"/>
        <w:rPr>
          <w:color w:val="000000"/>
        </w:rPr>
      </w:pPr>
      <w:r w:rsidRPr="00BA0545">
        <w:rPr>
          <w:color w:val="000000"/>
        </w:rPr>
        <w:t xml:space="preserve">22.4  </w:t>
      </w:r>
      <w:r w:rsidR="00CB381A" w:rsidRPr="00BA0545">
        <w:rPr>
          <w:color w:val="000000"/>
        </w:rPr>
        <w:t xml:space="preserve"> </w:t>
      </w:r>
      <w:r w:rsidRPr="00BA0545">
        <w:rPr>
          <w:color w:val="000000"/>
        </w:rPr>
        <w:t>Documentary evidence for exclusion and selection criteria</w:t>
      </w:r>
    </w:p>
    <w:p w14:paraId="17EE82E6" w14:textId="77777777" w:rsidR="0068234B" w:rsidRPr="000F1C89" w:rsidRDefault="00510D6D" w:rsidP="00D2731E">
      <w:pPr>
        <w:pStyle w:val="Balk2"/>
        <w:numPr>
          <w:ilvl w:val="0"/>
          <w:numId w:val="0"/>
        </w:numPr>
        <w:ind w:left="576" w:hanging="576"/>
      </w:pPr>
      <w:bookmarkStart w:id="31" w:name="_Toc529523979"/>
      <w:r w:rsidRPr="00C96E28">
        <w:t>2</w:t>
      </w:r>
      <w:r>
        <w:t>3</w:t>
      </w:r>
      <w:r>
        <w:tab/>
      </w:r>
      <w:r w:rsidR="0068234B" w:rsidRPr="000F1C89">
        <w:t>CORRECTIN</w:t>
      </w:r>
      <w:r w:rsidR="00B93A84" w:rsidRPr="000F1C89">
        <w:t>G</w:t>
      </w:r>
      <w:r w:rsidR="0068234B" w:rsidRPr="000F1C89">
        <w:t xml:space="preserve"> ERRORS</w:t>
      </w:r>
      <w:bookmarkEnd w:id="31"/>
    </w:p>
    <w:p w14:paraId="34205ED0" w14:textId="77777777" w:rsidR="0068234B" w:rsidRPr="000F1C89" w:rsidRDefault="00510D6D" w:rsidP="000A7BE8">
      <w:pPr>
        <w:pStyle w:val="Balk3"/>
        <w:numPr>
          <w:ilvl w:val="0"/>
          <w:numId w:val="0"/>
        </w:numPr>
        <w:ind w:left="720" w:hanging="720"/>
      </w:pPr>
      <w:r>
        <w:t>23.1</w:t>
      </w:r>
      <w:r>
        <w:tab/>
      </w:r>
      <w:r w:rsidR="0068234B" w:rsidRPr="000F1C89">
        <w:t>Possible errors in the financial offer will be corrected by the evaluation committee as follows:</w:t>
      </w:r>
    </w:p>
    <w:p w14:paraId="58E22050" w14:textId="77777777" w:rsidR="0068234B" w:rsidRPr="000F1C89" w:rsidRDefault="0068234B" w:rsidP="00BB3EB3">
      <w:pPr>
        <w:numPr>
          <w:ilvl w:val="0"/>
          <w:numId w:val="12"/>
        </w:numPr>
        <w:spacing w:after="0"/>
        <w:ind w:left="1559" w:hanging="357"/>
      </w:pPr>
      <w:r w:rsidRPr="000F1C89">
        <w:t xml:space="preserve">where there is a discrepancy between amounts in figures and in words, the amount in words will </w:t>
      </w:r>
      <w:proofErr w:type="gramStart"/>
      <w:r w:rsidRPr="000F1C89">
        <w:t>prevail;</w:t>
      </w:r>
      <w:proofErr w:type="gramEnd"/>
    </w:p>
    <w:p w14:paraId="75FE733A" w14:textId="77777777" w:rsidR="0068234B" w:rsidRPr="000F1C89" w:rsidRDefault="0068234B" w:rsidP="00BB3EB3">
      <w:pPr>
        <w:numPr>
          <w:ilvl w:val="0"/>
          <w:numId w:val="12"/>
        </w:numPr>
        <w:spacing w:after="0"/>
        <w:ind w:left="1559" w:hanging="357"/>
      </w:pPr>
      <w:r w:rsidRPr="000F1C89">
        <w:lastRenderedPageBreak/>
        <w:t>except for lump-sum contracts, where there is a discrepancy between a unit price and the total amount derived from the multiplication of the unit price and the quantity, the unit price as quoted will prevail.</w:t>
      </w:r>
    </w:p>
    <w:p w14:paraId="3D9773ED" w14:textId="77777777" w:rsidR="0068234B" w:rsidRPr="000F1C89" w:rsidRDefault="00510D6D" w:rsidP="000A7BE8">
      <w:pPr>
        <w:pStyle w:val="Balk3"/>
        <w:numPr>
          <w:ilvl w:val="0"/>
          <w:numId w:val="0"/>
        </w:numPr>
        <w:ind w:left="720" w:hanging="720"/>
      </w:pPr>
      <w:r>
        <w:t>23.2</w:t>
      </w:r>
      <w:r>
        <w:tab/>
      </w:r>
      <w:r w:rsidR="0068234B" w:rsidRPr="000F1C89">
        <w:t xml:space="preserve">The amount stated in the tender will be adjusted by the evaluation committee in the event of error, and the tenderer will be bound by that adjusted amount. If the tenderer does not accept the adjustment, its tender will be </w:t>
      </w:r>
      <w:proofErr w:type="gramStart"/>
      <w:r w:rsidR="0068234B" w:rsidRPr="000F1C89">
        <w:t>rejected</w:t>
      </w:r>
      <w:proofErr w:type="gramEnd"/>
      <w:r w:rsidR="0068234B" w:rsidRPr="000F1C89">
        <w:t xml:space="preserve"> and its tender guarantee forfeited.</w:t>
      </w:r>
    </w:p>
    <w:p w14:paraId="76472EAD" w14:textId="77777777" w:rsidR="0068234B" w:rsidRPr="000F1C89" w:rsidRDefault="0068234B" w:rsidP="00D2731E">
      <w:pPr>
        <w:pStyle w:val="Balk1"/>
        <w:numPr>
          <w:ilvl w:val="0"/>
          <w:numId w:val="0"/>
        </w:numPr>
        <w:ind w:left="432"/>
      </w:pPr>
      <w:bookmarkStart w:id="32" w:name="_Toc529523980"/>
      <w:r w:rsidRPr="000F1C89">
        <w:t>CONTRACT AWARD</w:t>
      </w:r>
      <w:bookmarkEnd w:id="32"/>
    </w:p>
    <w:p w14:paraId="23D68C0D" w14:textId="77777777" w:rsidR="0068234B" w:rsidRPr="0061219E" w:rsidRDefault="00510D6D" w:rsidP="00D2731E">
      <w:pPr>
        <w:pStyle w:val="Balk2"/>
        <w:numPr>
          <w:ilvl w:val="0"/>
          <w:numId w:val="0"/>
        </w:numPr>
        <w:ind w:left="576" w:hanging="576"/>
      </w:pPr>
      <w:bookmarkStart w:id="33" w:name="_Toc529523981"/>
      <w:r>
        <w:t>24.</w:t>
      </w:r>
      <w:r>
        <w:tab/>
      </w:r>
      <w:r w:rsidR="0068234B" w:rsidRPr="0061219E">
        <w:t>AWARD CRITERIA</w:t>
      </w:r>
      <w:bookmarkEnd w:id="33"/>
    </w:p>
    <w:p w14:paraId="78C78318" w14:textId="37B76F18" w:rsidR="0068234B" w:rsidRPr="0061219E" w:rsidRDefault="00270610">
      <w:r w:rsidRPr="0061219E">
        <w:t>T</w:t>
      </w:r>
      <w:r w:rsidR="00924B05" w:rsidRPr="0061219E">
        <w:t>he most economically advantageous tender is the technically compliant tender with the lowest price</w:t>
      </w:r>
      <w:r w:rsidR="0068234B" w:rsidRPr="0061219E">
        <w:t>.</w:t>
      </w:r>
    </w:p>
    <w:p w14:paraId="6B6D20C5" w14:textId="77777777" w:rsidR="00A425B4" w:rsidRPr="000F1C89" w:rsidRDefault="00510D6D" w:rsidP="00D2731E">
      <w:pPr>
        <w:pStyle w:val="Balk2"/>
        <w:numPr>
          <w:ilvl w:val="0"/>
          <w:numId w:val="0"/>
        </w:numPr>
        <w:ind w:left="576" w:hanging="576"/>
      </w:pPr>
      <w:bookmarkStart w:id="34" w:name="_Toc529523982"/>
      <w:r w:rsidRPr="0061219E">
        <w:t>25.</w:t>
      </w:r>
      <w:r w:rsidR="0048094E" w:rsidRPr="0061219E">
        <w:tab/>
      </w:r>
      <w:r w:rsidR="00A425B4" w:rsidRPr="0061219E">
        <w:t>N</w:t>
      </w:r>
      <w:r w:rsidR="00ED3948" w:rsidRPr="0061219E">
        <w:t>OTIFICATION</w:t>
      </w:r>
      <w:r w:rsidR="00ED3948">
        <w:t xml:space="preserve"> OF AWARD, CONTRACT CLARIFICATIONS</w:t>
      </w:r>
      <w:bookmarkEnd w:id="34"/>
    </w:p>
    <w:p w14:paraId="548F0B8B" w14:textId="77777777"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5C7A4877" w14:textId="071DF428"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232C4753" w14:textId="77777777" w:rsidR="00934749" w:rsidRPr="000F1C89" w:rsidRDefault="00934749" w:rsidP="00F62F2E">
      <w:pPr>
        <w:rPr>
          <w:szCs w:val="22"/>
        </w:rPr>
      </w:pPr>
    </w:p>
    <w:p w14:paraId="5A3AE17C" w14:textId="77777777" w:rsidR="0068234B" w:rsidRPr="000F1C89" w:rsidRDefault="00510D6D" w:rsidP="00D2731E">
      <w:pPr>
        <w:pStyle w:val="Balk2"/>
        <w:numPr>
          <w:ilvl w:val="0"/>
          <w:numId w:val="0"/>
        </w:numPr>
        <w:ind w:left="576" w:hanging="576"/>
      </w:pPr>
      <w:bookmarkStart w:id="35" w:name="_Toc529523983"/>
      <w:r>
        <w:t>26.</w:t>
      </w:r>
      <w:r>
        <w:tab/>
      </w:r>
      <w:r w:rsidR="0068234B" w:rsidRPr="000F1C89">
        <w:t>CONTRACT SIGNING AND PERFORMANCE GUARANTEE</w:t>
      </w:r>
      <w:bookmarkEnd w:id="35"/>
    </w:p>
    <w:p w14:paraId="1FE92D3D" w14:textId="77777777" w:rsidR="0068234B" w:rsidRPr="000F1C89" w:rsidRDefault="00510D6D" w:rsidP="000A7BE8">
      <w:pPr>
        <w:pStyle w:val="Balk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4F7932CF" w14:textId="77777777" w:rsidR="0068234B" w:rsidRPr="000F1C89" w:rsidRDefault="00510D6D" w:rsidP="000A7BE8">
      <w:pPr>
        <w:pStyle w:val="Balk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779F0B22" w14:textId="56B34E53" w:rsidR="0068234B" w:rsidRPr="000F1C89" w:rsidRDefault="00510D6D" w:rsidP="000A7BE8">
      <w:pPr>
        <w:pStyle w:val="Balk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 xml:space="preserve">onditions is set at </w:t>
      </w:r>
      <w:r w:rsidR="0061219E">
        <w:t>6</w:t>
      </w:r>
      <w:r w:rsidR="008372AA" w:rsidRPr="008372AA">
        <w:t xml:space="preserve"> </w:t>
      </w:r>
      <w:r w:rsidR="008372AA" w:rsidRPr="00E07D2A">
        <w:t>%</w:t>
      </w:r>
      <w:r w:rsidR="0068234B" w:rsidRPr="000F1C89">
        <w:t xml:space="preserve"> of the amount of the contract and must be presented in the form specified in the annex to the tender dossier</w:t>
      </w:r>
      <w:r w:rsidR="00CA00F7" w:rsidRPr="000F1C89">
        <w:t xml:space="preserve">, except </w:t>
      </w:r>
      <w:r w:rsidR="00CA00F7" w:rsidRPr="000F1C89">
        <w:lastRenderedPageBreak/>
        <w:t>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14:paraId="2B889CD1" w14:textId="77777777" w:rsidR="0068234B" w:rsidRPr="000F1C89" w:rsidRDefault="00510D6D" w:rsidP="00D2731E">
      <w:pPr>
        <w:pStyle w:val="Balk2"/>
        <w:numPr>
          <w:ilvl w:val="0"/>
          <w:numId w:val="0"/>
        </w:numPr>
        <w:ind w:left="576" w:hanging="576"/>
      </w:pPr>
      <w:bookmarkStart w:id="36" w:name="_Toc529523984"/>
      <w:r>
        <w:t xml:space="preserve">27. </w:t>
      </w:r>
      <w:r>
        <w:tab/>
      </w:r>
      <w:r w:rsidR="0068234B" w:rsidRPr="000F1C89">
        <w:t>CANCELLATION OF THE TENDER PROCEDURE</w:t>
      </w:r>
      <w:bookmarkEnd w:id="36"/>
    </w:p>
    <w:p w14:paraId="32F4BE37" w14:textId="02848198"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14:paraId="723217F9" w14:textId="77777777" w:rsidR="0068234B" w:rsidRPr="000F1C89" w:rsidRDefault="0068234B" w:rsidP="00D2731E">
      <w:pPr>
        <w:ind w:left="709"/>
      </w:pPr>
      <w:r w:rsidRPr="000F1C89">
        <w:t>Cancellation may occur</w:t>
      </w:r>
      <w:r w:rsidR="00B57895" w:rsidRPr="000F1C89">
        <w:t>, for example,</w:t>
      </w:r>
      <w:r w:rsidRPr="000F1C89">
        <w:t xml:space="preserve"> where:</w:t>
      </w:r>
    </w:p>
    <w:p w14:paraId="06CE9D0D" w14:textId="77777777" w:rsidR="0068234B" w:rsidRPr="000F1C89" w:rsidRDefault="0068234B" w:rsidP="00BB3EB3">
      <w:pPr>
        <w:numPr>
          <w:ilvl w:val="0"/>
          <w:numId w:val="13"/>
        </w:numPr>
        <w:spacing w:after="40"/>
        <w:ind w:left="1134" w:hanging="357"/>
      </w:pPr>
      <w:r w:rsidRPr="000F1C89">
        <w:t xml:space="preserve">the tender procedure has been unsuccessful, namely where </w:t>
      </w:r>
      <w:proofErr w:type="gramStart"/>
      <w:r w:rsidRPr="000F1C89">
        <w:t>no</w:t>
      </w:r>
      <w:proofErr w:type="gramEnd"/>
      <w:r w:rsidRPr="000F1C89">
        <w:t xml:space="preserve"> qualitatively or financially worthwhile tender has been received or there has been no valid response at all;</w:t>
      </w:r>
    </w:p>
    <w:p w14:paraId="3F6BBD49" w14:textId="77777777" w:rsidR="0068234B" w:rsidRPr="000F1C89" w:rsidRDefault="0068234B" w:rsidP="00BB3EB3">
      <w:pPr>
        <w:numPr>
          <w:ilvl w:val="0"/>
          <w:numId w:val="13"/>
        </w:numPr>
        <w:spacing w:after="40"/>
        <w:ind w:left="1134" w:hanging="357"/>
      </w:pPr>
      <w:r w:rsidRPr="000F1C89">
        <w:t xml:space="preserve">the economic or technical parameters of the project have been fundamentally </w:t>
      </w:r>
      <w:proofErr w:type="gramStart"/>
      <w:r w:rsidRPr="000F1C89">
        <w:t>altered;</w:t>
      </w:r>
      <w:proofErr w:type="gramEnd"/>
    </w:p>
    <w:p w14:paraId="234970E3" w14:textId="77777777" w:rsidR="0068234B" w:rsidRPr="000F1C89" w:rsidRDefault="0068234B" w:rsidP="00BB3EB3">
      <w:pPr>
        <w:numPr>
          <w:ilvl w:val="0"/>
          <w:numId w:val="13"/>
        </w:numPr>
        <w:spacing w:after="40"/>
        <w:ind w:left="1134" w:hanging="357"/>
      </w:pPr>
      <w:r w:rsidRPr="000F1C89">
        <w:t xml:space="preserve">exceptional circumstances or force majeure render normal execution of the project </w:t>
      </w:r>
      <w:proofErr w:type="gramStart"/>
      <w:r w:rsidRPr="000F1C89">
        <w:t>impossible;</w:t>
      </w:r>
      <w:proofErr w:type="gramEnd"/>
    </w:p>
    <w:p w14:paraId="537C865C" w14:textId="77777777" w:rsidR="0068234B" w:rsidRPr="000F1C89" w:rsidRDefault="0068234B" w:rsidP="00BB3EB3">
      <w:pPr>
        <w:numPr>
          <w:ilvl w:val="0"/>
          <w:numId w:val="13"/>
        </w:numPr>
        <w:spacing w:after="40"/>
        <w:ind w:left="1134" w:hanging="357"/>
      </w:pPr>
      <w:r w:rsidRPr="000F1C89">
        <w:t xml:space="preserve">all technically compliant tenders exceed the financial resources </w:t>
      </w:r>
      <w:proofErr w:type="gramStart"/>
      <w:r w:rsidRPr="000F1C89">
        <w:t>available;</w:t>
      </w:r>
      <w:proofErr w:type="gramEnd"/>
    </w:p>
    <w:p w14:paraId="6B3B65B7" w14:textId="77777777" w:rsidR="0068234B" w:rsidRPr="000F1C89" w:rsidRDefault="0068234B" w:rsidP="00BB3EB3">
      <w:pPr>
        <w:numPr>
          <w:ilvl w:val="0"/>
          <w:numId w:val="13"/>
        </w:numPr>
        <w:spacing w:after="40"/>
        <w:ind w:left="1134" w:hanging="357"/>
      </w:pPr>
      <w:r w:rsidRPr="000F1C89">
        <w:t xml:space="preserve">there have been irregularities in the procedure, in particular where these have prevented fair </w:t>
      </w:r>
      <w:proofErr w:type="gramStart"/>
      <w:r w:rsidRPr="000F1C89">
        <w:t>competition;</w:t>
      </w:r>
      <w:proofErr w:type="gramEnd"/>
    </w:p>
    <w:p w14:paraId="60BA05B4" w14:textId="77777777" w:rsidR="0068234B" w:rsidRPr="000F1C89" w:rsidRDefault="0068234B" w:rsidP="00BB3EB3">
      <w:pPr>
        <w:numPr>
          <w:ilvl w:val="0"/>
          <w:numId w:val="13"/>
        </w:numPr>
        <w:spacing w:after="40"/>
        <w:ind w:left="1134" w:hanging="357"/>
      </w:pPr>
      <w:r w:rsidRPr="000F1C89">
        <w:t xml:space="preserve">the award is not in compliance with sound financial management, </w:t>
      </w:r>
      <w:proofErr w:type="gramStart"/>
      <w:r w:rsidRPr="000F1C89">
        <w:t>i.e.</w:t>
      </w:r>
      <w:proofErr w:type="gramEnd"/>
      <w:r w:rsidRPr="000F1C89">
        <w:t xml:space="preserv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14:paraId="686F9122" w14:textId="77777777" w:rsidR="0068234B" w:rsidRPr="000F1C89" w:rsidRDefault="00510D6D" w:rsidP="00D2731E">
      <w:pPr>
        <w:pStyle w:val="Balk2"/>
        <w:numPr>
          <w:ilvl w:val="0"/>
          <w:numId w:val="0"/>
        </w:numPr>
        <w:ind w:left="576" w:hanging="576"/>
      </w:pPr>
      <w:bookmarkStart w:id="37" w:name="_Toc529523985"/>
      <w:r>
        <w:t>28.</w:t>
      </w:r>
      <w:r>
        <w:tab/>
      </w:r>
      <w:r w:rsidR="0068234B" w:rsidRPr="000F1C89">
        <w:t>ETHICS CLAUSES</w:t>
      </w:r>
      <w:r w:rsidR="00023652">
        <w:t xml:space="preserve"> AND CODE OF CONDUCT</w:t>
      </w:r>
      <w:bookmarkEnd w:id="37"/>
    </w:p>
    <w:p w14:paraId="1B1FB107" w14:textId="77777777" w:rsidR="00023652" w:rsidRDefault="00510D6D" w:rsidP="00D2731E">
      <w:pPr>
        <w:pStyle w:val="Balk3"/>
        <w:numPr>
          <w:ilvl w:val="0"/>
          <w:numId w:val="0"/>
        </w:numPr>
      </w:pPr>
      <w:r>
        <w:t>28.1</w:t>
      </w:r>
      <w:r>
        <w:tab/>
      </w:r>
      <w:r w:rsidR="00023652" w:rsidRPr="000A7BE8">
        <w:rPr>
          <w:u w:val="single"/>
        </w:rPr>
        <w:t>Absence of conflict of interest</w:t>
      </w:r>
      <w:r w:rsidR="00023652">
        <w:t xml:space="preserve"> </w:t>
      </w:r>
    </w:p>
    <w:p w14:paraId="29D70DB2"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 xml:space="preserve">Any attempt by a tenderer to obtain confidential information, enter into unlawful agreements with competitors or influence the evaluation committee or the contracting authority during the process of examining, clarifying, </w:t>
      </w:r>
      <w:proofErr w:type="gramStart"/>
      <w:r w:rsidRPr="005C7F3E">
        <w:rPr>
          <w:szCs w:val="22"/>
        </w:rPr>
        <w:t>evaluating</w:t>
      </w:r>
      <w:proofErr w:type="gramEnd"/>
      <w:r w:rsidRPr="005C7F3E">
        <w:rPr>
          <w:szCs w:val="22"/>
        </w:rPr>
        <w:t xml:space="preserve"> and comparing tenders will lead to the rejection of its tender and may result in administrative penalties</w:t>
      </w:r>
      <w:r>
        <w:rPr>
          <w:szCs w:val="22"/>
        </w:rPr>
        <w:t xml:space="preserve"> according to the Financial Regulation in force. </w:t>
      </w:r>
    </w:p>
    <w:p w14:paraId="3A352953" w14:textId="77777777" w:rsidR="00023652" w:rsidRDefault="00510D6D" w:rsidP="000A7BE8">
      <w:pPr>
        <w:pStyle w:val="Balk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247F2FD1" w14:textId="1BA50F60" w:rsidR="00023652" w:rsidRDefault="00023652" w:rsidP="00023652">
      <w:pPr>
        <w:keepNext/>
        <w:spacing w:before="120"/>
        <w:ind w:left="420"/>
        <w:rPr>
          <w:szCs w:val="22"/>
        </w:rPr>
      </w:pPr>
      <w:r>
        <w:rPr>
          <w:szCs w:val="22"/>
        </w:rPr>
        <w:lastRenderedPageBreak/>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xml:space="preserve">. </w:t>
      </w:r>
      <w:proofErr w:type="gramStart"/>
      <w:r w:rsidRPr="005C7F3E">
        <w:rPr>
          <w:szCs w:val="22"/>
        </w:rPr>
        <w:t>In particular and</w:t>
      </w:r>
      <w:proofErr w:type="gramEnd"/>
      <w:r w:rsidRPr="005C7F3E">
        <w:rPr>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E5A3686"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 xml:space="preserve">Zero tolerance for sexual </w:t>
      </w:r>
      <w:proofErr w:type="gramStart"/>
      <w:r w:rsidRPr="00417585">
        <w:rPr>
          <w:b/>
          <w:szCs w:val="22"/>
        </w:rPr>
        <w:t>exploitation</w:t>
      </w:r>
      <w:r w:rsidR="00ED78C5">
        <w:rPr>
          <w:b/>
          <w:szCs w:val="22"/>
        </w:rPr>
        <w:t>,</w:t>
      </w:r>
      <w:r w:rsidRPr="00417585">
        <w:rPr>
          <w:b/>
          <w:szCs w:val="22"/>
        </w:rPr>
        <w:t xml:space="preserve">  abuse</w:t>
      </w:r>
      <w:proofErr w:type="gramEnd"/>
      <w:r w:rsidR="00ED78C5">
        <w:rPr>
          <w:b/>
          <w:szCs w:val="22"/>
        </w:rPr>
        <w:t xml:space="preserve"> and harassment</w:t>
      </w:r>
      <w:r w:rsidRPr="00417585">
        <w:rPr>
          <w:b/>
          <w:szCs w:val="22"/>
        </w:rPr>
        <w:t>:</w:t>
      </w:r>
    </w:p>
    <w:p w14:paraId="25EA851A"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 xml:space="preserve">Physical abuse or punishment, or threats of physical abuse, sexual abuse or exploitation, </w:t>
      </w:r>
      <w:proofErr w:type="gramStart"/>
      <w:r w:rsidRPr="005C7F3E">
        <w:rPr>
          <w:szCs w:val="22"/>
        </w:rPr>
        <w:t>harassment</w:t>
      </w:r>
      <w:proofErr w:type="gramEnd"/>
      <w:r w:rsidRPr="005C7F3E">
        <w:rPr>
          <w:szCs w:val="22"/>
        </w:rPr>
        <w:t xml:space="preserve"> and verbal abuse, as well as other forms of inti</w:t>
      </w:r>
      <w:r>
        <w:rPr>
          <w:szCs w:val="22"/>
        </w:rPr>
        <w:t xml:space="preserve">midation shall be prohibited. </w:t>
      </w:r>
    </w:p>
    <w:p w14:paraId="0FBB1F21" w14:textId="77777777" w:rsidR="00023652" w:rsidRDefault="00510D6D" w:rsidP="000A7BE8">
      <w:pPr>
        <w:pStyle w:val="Balk3"/>
        <w:numPr>
          <w:ilvl w:val="0"/>
          <w:numId w:val="0"/>
        </w:numPr>
      </w:pPr>
      <w:r>
        <w:t>28.3</w:t>
      </w:r>
      <w:r>
        <w:tab/>
      </w:r>
      <w:r w:rsidR="00023652" w:rsidRPr="000A7BE8">
        <w:rPr>
          <w:u w:val="single"/>
        </w:rPr>
        <w:t>Anti-corruption and anti-bribery</w:t>
      </w:r>
      <w:r w:rsidR="00023652" w:rsidRPr="00023652">
        <w:t xml:space="preserve"> </w:t>
      </w:r>
    </w:p>
    <w:p w14:paraId="18A5DE20" w14:textId="77777777"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77777777" w:rsidR="00023652" w:rsidRDefault="00510D6D" w:rsidP="000A7BE8">
      <w:pPr>
        <w:pStyle w:val="Balk3"/>
        <w:numPr>
          <w:ilvl w:val="0"/>
          <w:numId w:val="0"/>
        </w:numPr>
        <w:ind w:left="142"/>
      </w:pPr>
      <w:r>
        <w:t>28.4</w:t>
      </w:r>
      <w:r>
        <w:tab/>
      </w:r>
      <w:r w:rsidR="00023652" w:rsidRPr="000A7BE8">
        <w:rPr>
          <w:u w:val="single"/>
        </w:rPr>
        <w:t>Unusual commercial expenses</w:t>
      </w:r>
      <w:r w:rsidR="00023652" w:rsidRPr="00023652">
        <w:t xml:space="preserve"> </w:t>
      </w:r>
    </w:p>
    <w:p w14:paraId="7E8BD864" w14:textId="77777777" w:rsidR="00023652" w:rsidRPr="002B370E" w:rsidRDefault="00023652" w:rsidP="00023652">
      <w:pPr>
        <w:spacing w:before="120"/>
        <w:ind w:left="397"/>
        <w:rPr>
          <w:szCs w:val="22"/>
        </w:rPr>
      </w:pPr>
      <w:r w:rsidRPr="002B370E">
        <w:rPr>
          <w:szCs w:val="22"/>
        </w:rPr>
        <w:t xml:space="preserve">Tenders will be </w:t>
      </w:r>
      <w:proofErr w:type="gramStart"/>
      <w:r w:rsidRPr="002B370E">
        <w:rPr>
          <w:szCs w:val="22"/>
        </w:rPr>
        <w:t>rejected</w:t>
      </w:r>
      <w:proofErr w:type="gramEnd"/>
      <w:r w:rsidRPr="002B370E">
        <w:rPr>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2B370E">
        <w:rPr>
          <w:szCs w:val="22"/>
        </w:rPr>
        <w:t>identified</w:t>
      </w:r>
      <w:proofErr w:type="gramEnd"/>
      <w:r w:rsidRPr="002B370E">
        <w:rPr>
          <w:szCs w:val="22"/>
        </w:rPr>
        <w:t xml:space="preserve"> or commissions paid to a company which has every appearance of being a front company.</w:t>
      </w:r>
    </w:p>
    <w:p w14:paraId="55F981F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Default="00510D6D" w:rsidP="000A7BE8">
      <w:pPr>
        <w:pStyle w:val="Balk3"/>
        <w:numPr>
          <w:ilvl w:val="0"/>
          <w:numId w:val="0"/>
        </w:numPr>
        <w:ind w:left="720" w:hanging="578"/>
      </w:pPr>
      <w:r>
        <w:t>28.5</w:t>
      </w:r>
      <w:r w:rsidR="00ED3948">
        <w:tab/>
      </w:r>
      <w:r w:rsidR="000A1377">
        <w:rPr>
          <w:u w:val="single"/>
        </w:rPr>
        <w:t>Breach of obligations</w:t>
      </w:r>
      <w:r w:rsidR="00023652" w:rsidRPr="000A7BE8">
        <w:rPr>
          <w:u w:val="single"/>
        </w:rPr>
        <w:t xml:space="preserve">, </w:t>
      </w:r>
      <w:proofErr w:type="gramStart"/>
      <w:r w:rsidR="00023652" w:rsidRPr="000A7BE8">
        <w:rPr>
          <w:u w:val="single"/>
        </w:rPr>
        <w:t>irregularities</w:t>
      </w:r>
      <w:proofErr w:type="gramEnd"/>
      <w:r w:rsidR="00023652" w:rsidRPr="000A7BE8">
        <w:rPr>
          <w:u w:val="single"/>
        </w:rPr>
        <w:t xml:space="preserve"> or fraud</w:t>
      </w:r>
    </w:p>
    <w:p w14:paraId="36733DD3"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xml:space="preserve">, </w:t>
      </w:r>
      <w:proofErr w:type="gramStart"/>
      <w:r w:rsidRPr="00725462">
        <w:rPr>
          <w:szCs w:val="22"/>
        </w:rPr>
        <w:t>irregularities</w:t>
      </w:r>
      <w:proofErr w:type="gramEnd"/>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77777777" w:rsidR="0068234B" w:rsidRPr="000F1C89" w:rsidRDefault="00510D6D" w:rsidP="00D2731E">
      <w:pPr>
        <w:pStyle w:val="Balk2"/>
        <w:numPr>
          <w:ilvl w:val="0"/>
          <w:numId w:val="0"/>
        </w:numPr>
        <w:ind w:left="576" w:hanging="576"/>
      </w:pPr>
      <w:bookmarkStart w:id="38" w:name="_Toc529523986"/>
      <w:r>
        <w:lastRenderedPageBreak/>
        <w:t>29.</w:t>
      </w:r>
      <w:r>
        <w:tab/>
      </w:r>
      <w:r w:rsidR="0068234B" w:rsidRPr="000F1C89">
        <w:t>APPEALS</w:t>
      </w:r>
      <w:bookmarkEnd w:id="38"/>
    </w:p>
    <w:p w14:paraId="10132DE8"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4AD4CB10" w14:textId="77777777" w:rsidR="00174043" w:rsidRDefault="00174043" w:rsidP="00285C17">
      <w:pPr>
        <w:rPr>
          <w:highlight w:val="yellow"/>
        </w:rPr>
      </w:pPr>
    </w:p>
    <w:p w14:paraId="607EFDFA" w14:textId="517F8D0A" w:rsidR="000F3C1A" w:rsidRDefault="000F3C1A" w:rsidP="00D2731E">
      <w:pPr>
        <w:pStyle w:val="Balk2"/>
        <w:numPr>
          <w:ilvl w:val="0"/>
          <w:numId w:val="0"/>
        </w:numPr>
        <w:ind w:left="576" w:hanging="576"/>
      </w:pPr>
      <w:r w:rsidRPr="009E4665">
        <w:rPr>
          <w:bCs/>
        </w:rPr>
        <w:t xml:space="preserve">30. </w:t>
      </w:r>
      <w:r w:rsidR="0063235B">
        <w:rPr>
          <w:bCs/>
        </w:rPr>
        <w:tab/>
      </w:r>
      <w:r w:rsidRPr="009E4665">
        <w:t>D</w:t>
      </w:r>
      <w:r w:rsidR="0063235B" w:rsidRPr="0063235B">
        <w:t>ATA</w:t>
      </w:r>
      <w:r w:rsidR="0063235B" w:rsidRPr="0063235B">
        <w:rPr>
          <w:bCs/>
        </w:rPr>
        <w:t xml:space="preserve"> </w:t>
      </w:r>
      <w:r w:rsidR="0063235B" w:rsidRPr="00B474CE">
        <w:t>PROTECTION</w:t>
      </w:r>
    </w:p>
    <w:p w14:paraId="6DDAE5D5" w14:textId="77777777" w:rsidR="00876D12" w:rsidRPr="0000113F" w:rsidRDefault="00876D12" w:rsidP="00876D12">
      <w:pPr>
        <w:rPr>
          <w:szCs w:val="22"/>
        </w:rPr>
      </w:pPr>
      <w:r w:rsidRPr="0000113F">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5EB5CEF" w14:textId="77777777" w:rsidR="00876D12" w:rsidRDefault="00876D12" w:rsidP="00876D12">
      <w:pPr>
        <w:rPr>
          <w:szCs w:val="22"/>
        </w:rPr>
      </w:pPr>
      <w:r w:rsidRPr="0000113F">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Pr="0000113F">
        <w:t xml:space="preserve"> </w:t>
      </w:r>
      <w:r w:rsidRPr="0000113F">
        <w:rPr>
          <w:szCs w:val="22"/>
        </w:rPr>
        <w:t>the head of contracts and finance unit R4 of DG Neighbourhood and Enlargement Negotiations and Directorate of Territorial Cooperation Management, at Ministry of Regional Development and Public Works of the Republic of Bulgaria, Managing authority of the Interreg-IPA CBC Bulgaria–Turkey Programme</w:t>
      </w:r>
      <w:r>
        <w:rPr>
          <w:szCs w:val="22"/>
        </w:rPr>
        <w:t xml:space="preserve"> and </w:t>
      </w:r>
      <w:r w:rsidRPr="0072237A">
        <w:rPr>
          <w:szCs w:val="22"/>
        </w:rPr>
        <w:t>Directorate for EU Affairs, General Directorate of  Financial Cooperation and Project Implementation</w:t>
      </w:r>
      <w:r>
        <w:rPr>
          <w:szCs w:val="22"/>
        </w:rPr>
        <w:t xml:space="preserve">, </w:t>
      </w:r>
      <w:r w:rsidRPr="0072237A">
        <w:rPr>
          <w:szCs w:val="22"/>
        </w:rPr>
        <w:t xml:space="preserve">National  </w:t>
      </w:r>
      <w:r w:rsidRPr="00876D12">
        <w:rPr>
          <w:szCs w:val="22"/>
        </w:rPr>
        <w:t>Authority (NA) of the Programme,  under which the project funding this contract is co-funded.</w:t>
      </w:r>
    </w:p>
    <w:p w14:paraId="3CAB0FFB" w14:textId="7613853D" w:rsidR="000F3C1A" w:rsidRPr="00876D12" w:rsidRDefault="000F3C1A" w:rsidP="00876D12">
      <w:pPr>
        <w:rPr>
          <w:szCs w:val="22"/>
        </w:rPr>
      </w:pPr>
      <w:r w:rsidRPr="00876D12">
        <w:rPr>
          <w:szCs w:val="22"/>
        </w:rPr>
        <w:t xml:space="preserve">Details concerning processing of your personal data are available on the privacy statement at </w:t>
      </w:r>
    </w:p>
    <w:p w14:paraId="0990DB0B" w14:textId="77777777" w:rsidR="000F3C1A" w:rsidRPr="00876D12" w:rsidRDefault="00BB3EB3" w:rsidP="00D2731E">
      <w:pPr>
        <w:pStyle w:val="GvdeMetni2"/>
        <w:tabs>
          <w:tab w:val="left" w:pos="0"/>
        </w:tabs>
        <w:spacing w:before="120"/>
        <w:ind w:left="0"/>
        <w:rPr>
          <w:color w:val="1F497D"/>
          <w:szCs w:val="22"/>
        </w:rPr>
      </w:pPr>
      <w:hyperlink r:id="rId21" w:history="1">
        <w:r w:rsidR="000F3C1A" w:rsidRPr="00876D12">
          <w:rPr>
            <w:rStyle w:val="Kpr"/>
            <w:szCs w:val="22"/>
          </w:rPr>
          <w:t>http://ec.europa.eu/europeaid/prag/annexes.do?chapterTitleCode=A</w:t>
        </w:r>
      </w:hyperlink>
      <w:r w:rsidR="000F3C1A" w:rsidRPr="00876D12">
        <w:rPr>
          <w:color w:val="1F497D"/>
          <w:szCs w:val="22"/>
        </w:rPr>
        <w:t xml:space="preserve"> </w:t>
      </w:r>
      <w:r w:rsidR="000F3C1A" w:rsidRPr="00876D12">
        <w:rPr>
          <w:rStyle w:val="DipnotBavurusu"/>
          <w:szCs w:val="22"/>
        </w:rPr>
        <w:footnoteReference w:id="3"/>
      </w:r>
    </w:p>
    <w:p w14:paraId="152FEAB9" w14:textId="264B93FE" w:rsidR="000F3C1A" w:rsidRPr="00876D12" w:rsidRDefault="000F3C1A" w:rsidP="00D2731E">
      <w:pPr>
        <w:pStyle w:val="GvdeMetni"/>
        <w:ind w:left="0"/>
        <w:rPr>
          <w:color w:val="1F497D"/>
          <w:szCs w:val="22"/>
        </w:rPr>
      </w:pPr>
      <w:r w:rsidRPr="00876D12">
        <w:rPr>
          <w:rFonts w:ascii="Times New Roman" w:hAnsi="Times New Roman"/>
          <w:sz w:val="22"/>
          <w:szCs w:val="22"/>
        </w:rPr>
        <w:t>In cases where you are processing personal data in the context of participation to a tender (</w:t>
      </w:r>
      <w:proofErr w:type="gramStart"/>
      <w:r w:rsidRPr="00876D12">
        <w:rPr>
          <w:rFonts w:ascii="Times New Roman" w:hAnsi="Times New Roman"/>
          <w:sz w:val="22"/>
          <w:szCs w:val="22"/>
        </w:rPr>
        <w:t>e.g.</w:t>
      </w:r>
      <w:proofErr w:type="gramEnd"/>
      <w:r w:rsidRPr="00876D12">
        <w:rPr>
          <w:rFonts w:ascii="Times New Roman" w:hAnsi="Times New Roman"/>
          <w:sz w:val="22"/>
          <w:szCs w:val="22"/>
        </w:rPr>
        <w:t xml:space="preserve"> CVs of both key and technical experts) and/or implementation of a contract (e.g. replacement of experts) you shall accordingly inform the data subjects of the details of the processing and communicate the above mentioned privacy statement to them.</w:t>
      </w:r>
    </w:p>
    <w:p w14:paraId="57F81AFD" w14:textId="0E941549" w:rsidR="0068234B" w:rsidRPr="009E4665" w:rsidRDefault="00285C17" w:rsidP="00D2731E">
      <w:pPr>
        <w:pStyle w:val="Balk2"/>
        <w:numPr>
          <w:ilvl w:val="0"/>
          <w:numId w:val="0"/>
        </w:numPr>
        <w:ind w:left="576" w:hanging="576"/>
      </w:pPr>
      <w:r w:rsidRPr="009E4665">
        <w:t>31</w:t>
      </w:r>
      <w:r w:rsidR="0063235B">
        <w:t>.</w:t>
      </w:r>
      <w:r w:rsidRPr="009E4665">
        <w:tab/>
      </w:r>
      <w:r w:rsidR="0068234B" w:rsidRPr="009E4665">
        <w:t xml:space="preserve">EARLY </w:t>
      </w:r>
      <w:r w:rsidR="00AB5381" w:rsidRPr="009E4665">
        <w:t xml:space="preserve">DETECTION </w:t>
      </w:r>
      <w:r w:rsidR="0068234B" w:rsidRPr="009E4665">
        <w:t xml:space="preserve">AND EXCLUSION </w:t>
      </w:r>
      <w:r w:rsidR="00AB5381" w:rsidRPr="009E4665">
        <w:t>SYSTEM</w:t>
      </w:r>
    </w:p>
    <w:p w14:paraId="64302F27" w14:textId="77777777" w:rsidR="0068234B" w:rsidRPr="000F1C89" w:rsidRDefault="0068234B" w:rsidP="00D2731E">
      <w:pPr>
        <w:ind w:left="0"/>
      </w:pPr>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14:paraId="5BE91203" w14:textId="62014358" w:rsidR="00261A68" w:rsidRDefault="00285C17" w:rsidP="009C428F">
      <w:pPr>
        <w:spacing w:before="600"/>
        <w:jc w:val="center"/>
        <w:sectPr w:rsidR="00261A68" w:rsidSect="004D3CD1">
          <w:pgSz w:w="11907" w:h="16840" w:code="9"/>
          <w:pgMar w:top="1298" w:right="1298" w:bottom="1077" w:left="1298" w:header="720" w:footer="720" w:gutter="0"/>
          <w:cols w:space="720"/>
          <w:noEndnote/>
          <w:titlePg/>
        </w:sectPr>
      </w:pPr>
      <w:r w:rsidRPr="000F1C89">
        <w:t>* * *</w:t>
      </w:r>
    </w:p>
    <w:p w14:paraId="2CC0A836" w14:textId="2DB10009" w:rsidR="001000A4" w:rsidRPr="000F1C89" w:rsidRDefault="001000A4" w:rsidP="00876D12">
      <w:pPr>
        <w:spacing w:before="600"/>
        <w:ind w:left="0"/>
      </w:pPr>
    </w:p>
    <w:sectPr w:rsidR="001000A4" w:rsidRPr="000F1C89" w:rsidSect="00BF075C">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3C0C4" w14:textId="77777777" w:rsidR="00BB3EB3" w:rsidRPr="00E725FE" w:rsidRDefault="00BB3EB3">
      <w:r w:rsidRPr="00E725FE">
        <w:separator/>
      </w:r>
    </w:p>
  </w:endnote>
  <w:endnote w:type="continuationSeparator" w:id="0">
    <w:p w14:paraId="1308A838" w14:textId="77777777" w:rsidR="00BB3EB3" w:rsidRPr="00E725FE" w:rsidRDefault="00BB3EB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onotype Sorts">
    <w:panose1 w:val="010106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A61B" w14:textId="77777777" w:rsidR="005260B4" w:rsidRDefault="005260B4">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5DBD1081" w14:textId="77777777" w:rsidR="005260B4" w:rsidRDefault="005260B4">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A97D" w14:textId="1E9B6DF6" w:rsidR="005260B4" w:rsidRPr="00684DD9" w:rsidRDefault="008943F7" w:rsidP="00617D2D">
    <w:pPr>
      <w:pStyle w:val="AltBilgi"/>
      <w:tabs>
        <w:tab w:val="clear" w:pos="4320"/>
        <w:tab w:val="clear" w:pos="8640"/>
        <w:tab w:val="right" w:pos="9214"/>
      </w:tabs>
      <w:spacing w:after="0"/>
      <w:ind w:left="0" w:right="5"/>
      <w:rPr>
        <w:rStyle w:val="SayfaNumaras"/>
        <w:sz w:val="18"/>
        <w:szCs w:val="18"/>
      </w:rPr>
    </w:pPr>
    <w:r>
      <w:rPr>
        <w:b/>
        <w:sz w:val="18"/>
      </w:rPr>
      <w:t>Dec</w:t>
    </w:r>
    <w:r w:rsidR="005260B4">
      <w:rPr>
        <w:b/>
        <w:sz w:val="18"/>
      </w:rPr>
      <w:t>ember 2021</w:t>
    </w:r>
    <w:r w:rsidR="005260B4" w:rsidRPr="00684DD9">
      <w:rPr>
        <w:sz w:val="18"/>
        <w:szCs w:val="18"/>
      </w:rPr>
      <w:tab/>
      <w:t xml:space="preserve">Page </w:t>
    </w:r>
    <w:r w:rsidR="005260B4" w:rsidRPr="00684DD9">
      <w:rPr>
        <w:rStyle w:val="SayfaNumaras"/>
        <w:sz w:val="18"/>
        <w:szCs w:val="18"/>
      </w:rPr>
      <w:fldChar w:fldCharType="begin"/>
    </w:r>
    <w:r w:rsidR="005260B4" w:rsidRPr="00684DD9">
      <w:rPr>
        <w:rStyle w:val="SayfaNumaras"/>
        <w:sz w:val="18"/>
        <w:szCs w:val="18"/>
      </w:rPr>
      <w:instrText xml:space="preserve"> PAGE </w:instrText>
    </w:r>
    <w:r w:rsidR="005260B4" w:rsidRPr="00684DD9">
      <w:rPr>
        <w:rStyle w:val="SayfaNumaras"/>
        <w:sz w:val="18"/>
        <w:szCs w:val="18"/>
      </w:rPr>
      <w:fldChar w:fldCharType="separate"/>
    </w:r>
    <w:r>
      <w:rPr>
        <w:rStyle w:val="SayfaNumaras"/>
        <w:noProof/>
        <w:sz w:val="18"/>
        <w:szCs w:val="18"/>
      </w:rPr>
      <w:t>5</w:t>
    </w:r>
    <w:r w:rsidR="005260B4" w:rsidRPr="00684DD9">
      <w:rPr>
        <w:rStyle w:val="SayfaNumaras"/>
        <w:sz w:val="18"/>
        <w:szCs w:val="18"/>
      </w:rPr>
      <w:fldChar w:fldCharType="end"/>
    </w:r>
    <w:r w:rsidR="005260B4" w:rsidRPr="00684DD9">
      <w:rPr>
        <w:rStyle w:val="SayfaNumaras"/>
        <w:sz w:val="18"/>
        <w:szCs w:val="18"/>
      </w:rPr>
      <w:t xml:space="preserve"> of </w:t>
    </w:r>
    <w:r w:rsidR="005260B4" w:rsidRPr="00684DD9">
      <w:rPr>
        <w:rStyle w:val="SayfaNumaras"/>
        <w:sz w:val="18"/>
        <w:szCs w:val="18"/>
      </w:rPr>
      <w:fldChar w:fldCharType="begin"/>
    </w:r>
    <w:r w:rsidR="005260B4" w:rsidRPr="00684DD9">
      <w:rPr>
        <w:rStyle w:val="SayfaNumaras"/>
        <w:sz w:val="18"/>
        <w:szCs w:val="18"/>
      </w:rPr>
      <w:instrText xml:space="preserve"> NUMPAGES </w:instrText>
    </w:r>
    <w:r w:rsidR="005260B4" w:rsidRPr="00684DD9">
      <w:rPr>
        <w:rStyle w:val="SayfaNumaras"/>
        <w:sz w:val="18"/>
        <w:szCs w:val="18"/>
      </w:rPr>
      <w:fldChar w:fldCharType="separate"/>
    </w:r>
    <w:r>
      <w:rPr>
        <w:rStyle w:val="SayfaNumaras"/>
        <w:noProof/>
        <w:sz w:val="18"/>
        <w:szCs w:val="18"/>
      </w:rPr>
      <w:t>30</w:t>
    </w:r>
    <w:r w:rsidR="005260B4" w:rsidRPr="00684DD9">
      <w:rPr>
        <w:rStyle w:val="SayfaNumaras"/>
        <w:sz w:val="18"/>
        <w:szCs w:val="18"/>
      </w:rPr>
      <w:fldChar w:fldCharType="end"/>
    </w:r>
  </w:p>
  <w:p w14:paraId="4A3BFEBF" w14:textId="77777777" w:rsidR="005260B4" w:rsidRPr="00684DD9" w:rsidRDefault="005260B4"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B6F5" w14:textId="55129ECF" w:rsidR="005260B4" w:rsidRPr="00684DD9" w:rsidRDefault="008943F7" w:rsidP="00D2731E">
    <w:pPr>
      <w:pStyle w:val="AltBilgi"/>
      <w:tabs>
        <w:tab w:val="clear" w:pos="4320"/>
        <w:tab w:val="clear" w:pos="8640"/>
        <w:tab w:val="right" w:pos="9214"/>
      </w:tabs>
      <w:spacing w:after="0"/>
      <w:ind w:left="0" w:right="5"/>
      <w:rPr>
        <w:rStyle w:val="SayfaNumaras"/>
        <w:sz w:val="18"/>
        <w:szCs w:val="18"/>
      </w:rPr>
    </w:pPr>
    <w:proofErr w:type="gramStart"/>
    <w:r>
      <w:rPr>
        <w:b/>
        <w:sz w:val="18"/>
      </w:rPr>
      <w:t>Dec</w:t>
    </w:r>
    <w:r w:rsidR="005260B4">
      <w:rPr>
        <w:b/>
        <w:sz w:val="18"/>
      </w:rPr>
      <w:t>ember  2021</w:t>
    </w:r>
    <w:proofErr w:type="gramEnd"/>
    <w:r w:rsidR="005260B4" w:rsidRPr="00684DD9">
      <w:rPr>
        <w:sz w:val="18"/>
        <w:szCs w:val="18"/>
      </w:rPr>
      <w:tab/>
      <w:t xml:space="preserve">Page </w:t>
    </w:r>
    <w:r w:rsidR="005260B4">
      <w:rPr>
        <w:rStyle w:val="SayfaNumaras"/>
        <w:sz w:val="18"/>
        <w:szCs w:val="18"/>
      </w:rPr>
      <w:fldChar w:fldCharType="begin"/>
    </w:r>
    <w:r w:rsidR="005260B4">
      <w:rPr>
        <w:rStyle w:val="SayfaNumaras"/>
        <w:sz w:val="18"/>
        <w:szCs w:val="18"/>
      </w:rPr>
      <w:instrText xml:space="preserve"> PAGE  \* Arabic </w:instrText>
    </w:r>
    <w:r w:rsidR="005260B4">
      <w:rPr>
        <w:rStyle w:val="SayfaNumaras"/>
        <w:sz w:val="18"/>
        <w:szCs w:val="18"/>
      </w:rPr>
      <w:fldChar w:fldCharType="separate"/>
    </w:r>
    <w:r>
      <w:rPr>
        <w:rStyle w:val="SayfaNumaras"/>
        <w:noProof/>
        <w:sz w:val="18"/>
        <w:szCs w:val="18"/>
      </w:rPr>
      <w:t>4</w:t>
    </w:r>
    <w:r w:rsidR="005260B4">
      <w:rPr>
        <w:rStyle w:val="SayfaNumaras"/>
        <w:sz w:val="18"/>
        <w:szCs w:val="18"/>
      </w:rPr>
      <w:fldChar w:fldCharType="end"/>
    </w:r>
    <w:r w:rsidR="005260B4" w:rsidRPr="00684DD9">
      <w:rPr>
        <w:rStyle w:val="SayfaNumaras"/>
        <w:sz w:val="18"/>
        <w:szCs w:val="18"/>
      </w:rPr>
      <w:t xml:space="preserve"> of </w:t>
    </w:r>
    <w:r w:rsidR="005260B4" w:rsidRPr="00684DD9">
      <w:rPr>
        <w:rStyle w:val="SayfaNumaras"/>
        <w:sz w:val="18"/>
        <w:szCs w:val="18"/>
      </w:rPr>
      <w:fldChar w:fldCharType="begin"/>
    </w:r>
    <w:r w:rsidR="005260B4" w:rsidRPr="00684DD9">
      <w:rPr>
        <w:rStyle w:val="SayfaNumaras"/>
        <w:sz w:val="18"/>
        <w:szCs w:val="18"/>
      </w:rPr>
      <w:instrText xml:space="preserve"> NUMPAGES </w:instrText>
    </w:r>
    <w:r w:rsidR="005260B4" w:rsidRPr="00684DD9">
      <w:rPr>
        <w:rStyle w:val="SayfaNumaras"/>
        <w:sz w:val="18"/>
        <w:szCs w:val="18"/>
      </w:rPr>
      <w:fldChar w:fldCharType="separate"/>
    </w:r>
    <w:r>
      <w:rPr>
        <w:rStyle w:val="SayfaNumaras"/>
        <w:noProof/>
        <w:sz w:val="18"/>
        <w:szCs w:val="18"/>
      </w:rPr>
      <w:t>30</w:t>
    </w:r>
    <w:r w:rsidR="005260B4" w:rsidRPr="00684DD9">
      <w:rPr>
        <w:rStyle w:val="SayfaNumaras"/>
        <w:sz w:val="18"/>
        <w:szCs w:val="18"/>
      </w:rPr>
      <w:fldChar w:fldCharType="end"/>
    </w:r>
  </w:p>
  <w:p w14:paraId="6067BA88" w14:textId="77777777" w:rsidR="005260B4" w:rsidRPr="00684DD9" w:rsidRDefault="005260B4"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CAB18" w14:textId="77777777" w:rsidR="00BB3EB3" w:rsidRPr="00E725FE" w:rsidRDefault="00BB3EB3" w:rsidP="005C5770">
      <w:pPr>
        <w:spacing w:after="40"/>
        <w:ind w:left="0"/>
      </w:pPr>
      <w:r w:rsidRPr="00E725FE">
        <w:separator/>
      </w:r>
    </w:p>
  </w:footnote>
  <w:footnote w:type="continuationSeparator" w:id="0">
    <w:p w14:paraId="7575B90A" w14:textId="77777777" w:rsidR="00BB3EB3" w:rsidRPr="00E725FE" w:rsidRDefault="00BB3EB3">
      <w:r w:rsidRPr="00E725FE">
        <w:continuationSeparator/>
      </w:r>
    </w:p>
  </w:footnote>
  <w:footnote w:id="1">
    <w:p w14:paraId="1D56329B" w14:textId="77777777" w:rsidR="005260B4" w:rsidRPr="00FA17F7" w:rsidRDefault="005260B4">
      <w:pPr>
        <w:pStyle w:val="DipnotMetni"/>
      </w:pPr>
      <w:r>
        <w:rPr>
          <w:rStyle w:val="DipnotBavurusu"/>
        </w:rPr>
        <w:footnoteRef/>
      </w:r>
      <w:r>
        <w:t xml:space="preserve"> See PRAG 2.6.10.1.3 A)</w:t>
      </w:r>
    </w:p>
  </w:footnote>
  <w:footnote w:id="2">
    <w:p w14:paraId="4AE2934E" w14:textId="77777777" w:rsidR="005260B4" w:rsidRPr="006D46E8" w:rsidRDefault="005260B4">
      <w:pPr>
        <w:pStyle w:val="DipnotMetni"/>
      </w:pPr>
      <w:r>
        <w:rPr>
          <w:rStyle w:val="DipnotBavurusu"/>
        </w:rPr>
        <w:footnoteRef/>
      </w:r>
      <w:r>
        <w:t xml:space="preserve"> </w:t>
      </w:r>
      <w:r w:rsidRPr="000A7BE8">
        <w:t>It is recommended to use registered mail in case the postmark would not be readable.</w:t>
      </w:r>
    </w:p>
  </w:footnote>
  <w:footnote w:id="3">
    <w:p w14:paraId="57C652EE" w14:textId="77777777" w:rsidR="005260B4" w:rsidRPr="003E033C" w:rsidRDefault="005260B4" w:rsidP="000F3C1A">
      <w:pPr>
        <w:pStyle w:val="DipnotMetni"/>
      </w:pPr>
      <w:r w:rsidRPr="00695F78">
        <w:rPr>
          <w:rStyle w:val="DipnotBavurusu"/>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F635BD" w:rsidRPr="008B1ADB" w14:paraId="3CDAB633" w14:textId="77777777" w:rsidTr="00D140FF">
      <w:trPr>
        <w:jc w:val="center"/>
      </w:trPr>
      <w:tc>
        <w:tcPr>
          <w:tcW w:w="3638" w:type="dxa"/>
          <w:shd w:val="clear" w:color="auto" w:fill="auto"/>
        </w:tcPr>
        <w:p w14:paraId="7A1823F9" w14:textId="77777777" w:rsidR="00F635BD" w:rsidRPr="008B1ADB" w:rsidRDefault="00BB3EB3" w:rsidP="00F635BD">
          <w:pPr>
            <w:rPr>
              <w:rFonts w:ascii="Calibri" w:hAnsi="Calibri"/>
            </w:rPr>
          </w:pPr>
          <w:r w:rsidRPr="00BB3EB3">
            <w:rPr>
              <w:rFonts w:ascii="Calibri" w:hAnsi="Calibri"/>
              <w:noProof/>
              <w:snapToGrid/>
            </w:rPr>
            <w:pict w14:anchorId="2B4E4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40pt;height:43pt;visibility:visible;mso-wrap-style:square;mso-width-percent:0;mso-height-percent:0;mso-width-percent:0;mso-height-percent:0">
                <v:imagedata r:id="rId1" o:title=""/>
                <o:lock v:ext="edit" aspectratio="f"/>
              </v:shape>
            </w:pict>
          </w:r>
        </w:p>
      </w:tc>
      <w:tc>
        <w:tcPr>
          <w:tcW w:w="3632" w:type="dxa"/>
          <w:vAlign w:val="center"/>
        </w:tcPr>
        <w:p w14:paraId="0B28F827" w14:textId="77777777" w:rsidR="00F635BD" w:rsidRPr="00272BD0" w:rsidRDefault="00F635BD" w:rsidP="00F635BD">
          <w:pPr>
            <w:rPr>
              <w:i/>
              <w:noProof/>
              <w:sz w:val="20"/>
            </w:rPr>
          </w:pPr>
        </w:p>
      </w:tc>
      <w:tc>
        <w:tcPr>
          <w:tcW w:w="2551" w:type="dxa"/>
          <w:vAlign w:val="bottom"/>
        </w:tcPr>
        <w:p w14:paraId="3DC4AAD6" w14:textId="77777777" w:rsidR="00F635BD" w:rsidRPr="008B1ADB" w:rsidRDefault="00F635BD" w:rsidP="00F635BD">
          <w:pPr>
            <w:jc w:val="right"/>
            <w:rPr>
              <w:rFonts w:ascii="Calibri" w:hAnsi="Calibri" w:cs="Arial"/>
              <w:color w:val="7030A0"/>
            </w:rPr>
          </w:pPr>
          <w:r>
            <w:rPr>
              <w:rFonts w:ascii="Calibri" w:hAnsi="Calibri"/>
              <w:noProof/>
            </w:rPr>
            <w:t xml:space="preserve">   </w:t>
          </w:r>
          <w:r w:rsidR="00BB3EB3" w:rsidRPr="00BB3EB3">
            <w:rPr>
              <w:rFonts w:ascii="Calibri" w:hAnsi="Calibri"/>
              <w:noProof/>
              <w:snapToGrid/>
            </w:rPr>
            <w:pict w14:anchorId="1C8D24BA">
              <v:shape id="Resim 2" o:spid="_x0000_i1025" type="#_x0000_t75" alt="" style="width:55pt;height:46pt;visibility:visible;mso-wrap-style:square;mso-width-percent:0;mso-height-percent:0;mso-width-percent:0;mso-height-percent:0">
                <v:imagedata r:id="rId2" o:title=""/>
                <o:lock v:ext="edit" aspectratio="f"/>
              </v:shape>
            </w:pict>
          </w:r>
        </w:p>
      </w:tc>
    </w:tr>
  </w:tbl>
  <w:p w14:paraId="189B21A5" w14:textId="603F65BF" w:rsidR="005260B4" w:rsidRPr="00F635BD" w:rsidRDefault="00F635BD" w:rsidP="00F635BD">
    <w:pPr>
      <w:jc w:val="center"/>
      <w:rPr>
        <w:b/>
        <w:snapToGrid/>
        <w:color w:val="2F5496"/>
        <w:szCs w:val="24"/>
        <w:lang w:val="tr-TR" w:eastAsia="tr-TR"/>
      </w:rPr>
    </w:pPr>
    <w:r w:rsidRPr="00F0115B">
      <w:rPr>
        <w:b/>
        <w:color w:val="2F5496"/>
        <w:szCs w:val="24"/>
      </w:rPr>
      <w:t>CB005.2.21.114 “</w:t>
    </w:r>
    <w:proofErr w:type="spellStart"/>
    <w:r w:rsidRPr="00F0115B">
      <w:rPr>
        <w:b/>
        <w:snapToGrid/>
        <w:color w:val="2F5496"/>
        <w:szCs w:val="24"/>
        <w:shd w:val="clear" w:color="auto" w:fill="FFFFFF"/>
        <w:lang w:val="tr-TR" w:eastAsia="tr-TR"/>
      </w:rPr>
      <w:t>Improving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conditions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access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natural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cultural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tourist</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sites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by</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creating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zones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tourism</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recreation</w:t>
    </w:r>
    <w:proofErr w:type="spellEnd"/>
    <w:r w:rsidRPr="00F0115B">
      <w:rPr>
        <w:b/>
        <w:snapToGrid/>
        <w:color w:val="2F5496"/>
        <w:szCs w:val="24"/>
        <w:shd w:val="clear" w:color="auto" w:fill="FFFFFF"/>
        <w:lang w:val="tr-TR" w:eastAsia="tr-TR"/>
      </w:rPr>
      <w:t xml:space="preserve"> in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village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Lambuh</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municipality</w:t>
    </w:r>
    <w:proofErr w:type="spellEnd"/>
    <w:r w:rsidRPr="00F0115B">
      <w:rPr>
        <w:b/>
        <w:snapToGrid/>
        <w:color w:val="2F5496"/>
        <w:szCs w:val="24"/>
        <w:shd w:val="clear" w:color="auto" w:fill="FFFFFF"/>
        <w:lang w:val="tr-TR" w:eastAsia="tr-TR"/>
      </w:rPr>
      <w:t xml:space="preserve"> of </w:t>
    </w:r>
    <w:proofErr w:type="spellStart"/>
    <w:r w:rsidRPr="00F0115B">
      <w:rPr>
        <w:b/>
        <w:snapToGrid/>
        <w:color w:val="2F5496"/>
        <w:szCs w:val="24"/>
        <w:shd w:val="clear" w:color="auto" w:fill="FFFFFF"/>
        <w:lang w:val="tr-TR" w:eastAsia="tr-TR"/>
      </w:rPr>
      <w:t>Ivaylovgrad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Kesan</w:t>
    </w:r>
    <w:proofErr w:type="spellEnd"/>
    <w:r w:rsidRPr="00F0115B">
      <w:rPr>
        <w:b/>
        <w:color w:val="2F5496"/>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1A91" w14:textId="77777777" w:rsidR="005260B4" w:rsidRDefault="005260B4" w:rsidP="00582940">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29C7A99"/>
    <w:multiLevelType w:val="hybridMultilevel"/>
    <w:tmpl w:val="1512BE54"/>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5"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1"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634048DB"/>
    <w:multiLevelType w:val="multilevel"/>
    <w:tmpl w:val="05C46F48"/>
    <w:lvl w:ilvl="0">
      <w:start w:val="1"/>
      <w:numFmt w:val="none"/>
      <w:pStyle w:val="Balk1"/>
      <w:lvlText w:val=""/>
      <w:lvlJc w:val="left"/>
      <w:pPr>
        <w:ind w:left="432" w:hanging="432"/>
      </w:pPr>
      <w:rPr>
        <w:rFonts w:hint="default"/>
      </w:rPr>
    </w:lvl>
    <w:lvl w:ilvl="1">
      <w:start w:val="1"/>
      <w:numFmt w:val="decimal"/>
      <w:pStyle w:val="Balk2"/>
      <w:lvlText w:val="%2."/>
      <w:lvlJc w:val="left"/>
      <w:pPr>
        <w:ind w:left="576" w:hanging="576"/>
      </w:pPr>
      <w:rPr>
        <w:rFonts w:hint="default"/>
        <w:b/>
      </w:rPr>
    </w:lvl>
    <w:lvl w:ilvl="2">
      <w:start w:val="1"/>
      <w:numFmt w:val="decimal"/>
      <w:pStyle w:val="Balk3"/>
      <w:lvlText w:val="%1%2.%3."/>
      <w:lvlJc w:val="left"/>
      <w:pPr>
        <w:ind w:left="862" w:hanging="720"/>
      </w:pPr>
      <w:rPr>
        <w:rFonts w:hint="default"/>
      </w:rPr>
    </w:lvl>
    <w:lvl w:ilvl="3">
      <w:start w:val="1"/>
      <w:numFmt w:val="decimal"/>
      <w:pStyle w:val="Balk4"/>
      <w:lvlText w:val="%1%2.%3.%4."/>
      <w:lvlJc w:val="left"/>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Balk5"/>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13"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7"/>
  </w:num>
  <w:num w:numId="2">
    <w:abstractNumId w:val="8"/>
  </w:num>
  <w:num w:numId="3">
    <w:abstractNumId w:val="9"/>
  </w:num>
  <w:num w:numId="4">
    <w:abstractNumId w:val="3"/>
  </w:num>
  <w:num w:numId="5">
    <w:abstractNumId w:val="14"/>
    <w:lvlOverride w:ilvl="0">
      <w:startOverride w:val="1"/>
    </w:lvlOverride>
  </w:num>
  <w:num w:numId="6">
    <w:abstractNumId w:val="11"/>
  </w:num>
  <w:num w:numId="7">
    <w:abstractNumId w:val="18"/>
  </w:num>
  <w:num w:numId="8">
    <w:abstractNumId w:val="6"/>
  </w:num>
  <w:num w:numId="9">
    <w:abstractNumId w:val="7"/>
  </w:num>
  <w:num w:numId="10">
    <w:abstractNumId w:val="1"/>
  </w:num>
  <w:num w:numId="11">
    <w:abstractNumId w:val="13"/>
  </w:num>
  <w:num w:numId="12">
    <w:abstractNumId w:val="15"/>
  </w:num>
  <w:num w:numId="13">
    <w:abstractNumId w:val="16"/>
  </w:num>
  <w:num w:numId="14">
    <w:abstractNumId w:val="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0"/>
  </w:num>
  <w:num w:numId="18">
    <w:abstractNumId w:val="10"/>
  </w:num>
  <w:num w:numId="1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sv-S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2E38"/>
    <w:rsid w:val="00003A4C"/>
    <w:rsid w:val="00006DF8"/>
    <w:rsid w:val="000126DB"/>
    <w:rsid w:val="00017B50"/>
    <w:rsid w:val="00020372"/>
    <w:rsid w:val="00020A5B"/>
    <w:rsid w:val="00021303"/>
    <w:rsid w:val="00023652"/>
    <w:rsid w:val="000242F7"/>
    <w:rsid w:val="00030A2D"/>
    <w:rsid w:val="000319FA"/>
    <w:rsid w:val="00031E63"/>
    <w:rsid w:val="00043500"/>
    <w:rsid w:val="000519C0"/>
    <w:rsid w:val="00055316"/>
    <w:rsid w:val="00055A26"/>
    <w:rsid w:val="00057B00"/>
    <w:rsid w:val="00060C1E"/>
    <w:rsid w:val="000647C1"/>
    <w:rsid w:val="00065189"/>
    <w:rsid w:val="0007013D"/>
    <w:rsid w:val="000733A0"/>
    <w:rsid w:val="000758E1"/>
    <w:rsid w:val="0008691E"/>
    <w:rsid w:val="00090359"/>
    <w:rsid w:val="00093510"/>
    <w:rsid w:val="00095AA5"/>
    <w:rsid w:val="000961F5"/>
    <w:rsid w:val="000A0F92"/>
    <w:rsid w:val="000A1377"/>
    <w:rsid w:val="000A21E4"/>
    <w:rsid w:val="000A5490"/>
    <w:rsid w:val="000A6A0E"/>
    <w:rsid w:val="000A7BE8"/>
    <w:rsid w:val="000B190D"/>
    <w:rsid w:val="000B1BFC"/>
    <w:rsid w:val="000B25BF"/>
    <w:rsid w:val="000C0327"/>
    <w:rsid w:val="000C08BA"/>
    <w:rsid w:val="000C08DA"/>
    <w:rsid w:val="000C0C20"/>
    <w:rsid w:val="000C17C6"/>
    <w:rsid w:val="000C270F"/>
    <w:rsid w:val="000C549B"/>
    <w:rsid w:val="000C55DE"/>
    <w:rsid w:val="000C6752"/>
    <w:rsid w:val="000C7952"/>
    <w:rsid w:val="000D13E7"/>
    <w:rsid w:val="000D218D"/>
    <w:rsid w:val="000D22CC"/>
    <w:rsid w:val="000D26D1"/>
    <w:rsid w:val="000D3490"/>
    <w:rsid w:val="000D6720"/>
    <w:rsid w:val="000D7C74"/>
    <w:rsid w:val="000E0648"/>
    <w:rsid w:val="000E537A"/>
    <w:rsid w:val="000E64EF"/>
    <w:rsid w:val="000F1C89"/>
    <w:rsid w:val="000F39C3"/>
    <w:rsid w:val="000F3C1A"/>
    <w:rsid w:val="001000A4"/>
    <w:rsid w:val="001050EE"/>
    <w:rsid w:val="00107540"/>
    <w:rsid w:val="00111B7A"/>
    <w:rsid w:val="00114F35"/>
    <w:rsid w:val="00115626"/>
    <w:rsid w:val="00115F30"/>
    <w:rsid w:val="0012215B"/>
    <w:rsid w:val="001223A5"/>
    <w:rsid w:val="001301A4"/>
    <w:rsid w:val="00136117"/>
    <w:rsid w:val="00136E89"/>
    <w:rsid w:val="00154308"/>
    <w:rsid w:val="00154711"/>
    <w:rsid w:val="00154B15"/>
    <w:rsid w:val="00160856"/>
    <w:rsid w:val="00164D54"/>
    <w:rsid w:val="0017313B"/>
    <w:rsid w:val="00173213"/>
    <w:rsid w:val="00173310"/>
    <w:rsid w:val="00174043"/>
    <w:rsid w:val="00177A02"/>
    <w:rsid w:val="0018272A"/>
    <w:rsid w:val="001877C6"/>
    <w:rsid w:val="00196F72"/>
    <w:rsid w:val="001978EF"/>
    <w:rsid w:val="001A4E4A"/>
    <w:rsid w:val="001A59A9"/>
    <w:rsid w:val="001B31E6"/>
    <w:rsid w:val="001B3B0F"/>
    <w:rsid w:val="001B7979"/>
    <w:rsid w:val="001C1D2A"/>
    <w:rsid w:val="001C2D41"/>
    <w:rsid w:val="001C3D5A"/>
    <w:rsid w:val="001C7EB2"/>
    <w:rsid w:val="001D55A9"/>
    <w:rsid w:val="001D7396"/>
    <w:rsid w:val="001E0CB6"/>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4FA5"/>
    <w:rsid w:val="0023173A"/>
    <w:rsid w:val="00232289"/>
    <w:rsid w:val="00236D8B"/>
    <w:rsid w:val="00241077"/>
    <w:rsid w:val="002429C1"/>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75A2"/>
    <w:rsid w:val="002E052E"/>
    <w:rsid w:val="002E4B5A"/>
    <w:rsid w:val="002F41E6"/>
    <w:rsid w:val="002F6D2E"/>
    <w:rsid w:val="0030020C"/>
    <w:rsid w:val="00301BDD"/>
    <w:rsid w:val="00301DE9"/>
    <w:rsid w:val="003111D9"/>
    <w:rsid w:val="00311D2D"/>
    <w:rsid w:val="0031338C"/>
    <w:rsid w:val="00326118"/>
    <w:rsid w:val="003308BB"/>
    <w:rsid w:val="00330BE1"/>
    <w:rsid w:val="00331C3D"/>
    <w:rsid w:val="0033332D"/>
    <w:rsid w:val="0034543F"/>
    <w:rsid w:val="00346E32"/>
    <w:rsid w:val="00346EFA"/>
    <w:rsid w:val="003521FE"/>
    <w:rsid w:val="00355AA2"/>
    <w:rsid w:val="00356B1D"/>
    <w:rsid w:val="00357F27"/>
    <w:rsid w:val="00362638"/>
    <w:rsid w:val="00363B97"/>
    <w:rsid w:val="0036575D"/>
    <w:rsid w:val="00370CE8"/>
    <w:rsid w:val="00370E44"/>
    <w:rsid w:val="0037121B"/>
    <w:rsid w:val="003718ED"/>
    <w:rsid w:val="003721D9"/>
    <w:rsid w:val="00372429"/>
    <w:rsid w:val="003737FB"/>
    <w:rsid w:val="00374882"/>
    <w:rsid w:val="0037570A"/>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B5B56"/>
    <w:rsid w:val="003C07AB"/>
    <w:rsid w:val="003C1679"/>
    <w:rsid w:val="003C17B9"/>
    <w:rsid w:val="003C2000"/>
    <w:rsid w:val="003C5C95"/>
    <w:rsid w:val="003C60D0"/>
    <w:rsid w:val="003D2B40"/>
    <w:rsid w:val="003D3100"/>
    <w:rsid w:val="003D31A5"/>
    <w:rsid w:val="003D436F"/>
    <w:rsid w:val="003D795D"/>
    <w:rsid w:val="003E161D"/>
    <w:rsid w:val="003E1900"/>
    <w:rsid w:val="003E3265"/>
    <w:rsid w:val="003E596D"/>
    <w:rsid w:val="003F005A"/>
    <w:rsid w:val="003F45C4"/>
    <w:rsid w:val="003F46DC"/>
    <w:rsid w:val="003F6C02"/>
    <w:rsid w:val="004011DC"/>
    <w:rsid w:val="004013BB"/>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C19FA"/>
    <w:rsid w:val="004D0188"/>
    <w:rsid w:val="004D3CD1"/>
    <w:rsid w:val="004D61E0"/>
    <w:rsid w:val="004D6384"/>
    <w:rsid w:val="004D6FB2"/>
    <w:rsid w:val="004E276B"/>
    <w:rsid w:val="004E2B14"/>
    <w:rsid w:val="004E3124"/>
    <w:rsid w:val="004E52DB"/>
    <w:rsid w:val="004E555E"/>
    <w:rsid w:val="004E7AFB"/>
    <w:rsid w:val="004F13D8"/>
    <w:rsid w:val="004F3026"/>
    <w:rsid w:val="004F4060"/>
    <w:rsid w:val="004F42EC"/>
    <w:rsid w:val="004F7265"/>
    <w:rsid w:val="004F7629"/>
    <w:rsid w:val="0050355A"/>
    <w:rsid w:val="00510D6D"/>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44EC"/>
    <w:rsid w:val="005E6080"/>
    <w:rsid w:val="005E6EAE"/>
    <w:rsid w:val="0060314A"/>
    <w:rsid w:val="00605AD1"/>
    <w:rsid w:val="006072A7"/>
    <w:rsid w:val="00607698"/>
    <w:rsid w:val="0061219E"/>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5154"/>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7273"/>
    <w:rsid w:val="006D7D6D"/>
    <w:rsid w:val="006E0EEE"/>
    <w:rsid w:val="006E5990"/>
    <w:rsid w:val="006E6032"/>
    <w:rsid w:val="006F177A"/>
    <w:rsid w:val="006F1994"/>
    <w:rsid w:val="006F1A1B"/>
    <w:rsid w:val="006F300E"/>
    <w:rsid w:val="006F3A50"/>
    <w:rsid w:val="006F79B1"/>
    <w:rsid w:val="00707943"/>
    <w:rsid w:val="00707D22"/>
    <w:rsid w:val="007132DC"/>
    <w:rsid w:val="00713A3A"/>
    <w:rsid w:val="00713F4C"/>
    <w:rsid w:val="007172B0"/>
    <w:rsid w:val="00717F62"/>
    <w:rsid w:val="0072085D"/>
    <w:rsid w:val="00720FF6"/>
    <w:rsid w:val="007225AE"/>
    <w:rsid w:val="007240B5"/>
    <w:rsid w:val="00727ADF"/>
    <w:rsid w:val="007300FC"/>
    <w:rsid w:val="00731AAD"/>
    <w:rsid w:val="00733400"/>
    <w:rsid w:val="007368F8"/>
    <w:rsid w:val="00740350"/>
    <w:rsid w:val="00741C18"/>
    <w:rsid w:val="00742986"/>
    <w:rsid w:val="00745390"/>
    <w:rsid w:val="00746BFC"/>
    <w:rsid w:val="00750718"/>
    <w:rsid w:val="00753C78"/>
    <w:rsid w:val="00754EC4"/>
    <w:rsid w:val="0076325C"/>
    <w:rsid w:val="007674BA"/>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7577"/>
    <w:rsid w:val="0085796F"/>
    <w:rsid w:val="00866754"/>
    <w:rsid w:val="0086700B"/>
    <w:rsid w:val="0087152F"/>
    <w:rsid w:val="00872EA1"/>
    <w:rsid w:val="00873C4F"/>
    <w:rsid w:val="00876D12"/>
    <w:rsid w:val="00880541"/>
    <w:rsid w:val="008824C1"/>
    <w:rsid w:val="008838FC"/>
    <w:rsid w:val="008869D6"/>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33594"/>
    <w:rsid w:val="00934749"/>
    <w:rsid w:val="009348EA"/>
    <w:rsid w:val="0093784E"/>
    <w:rsid w:val="00937D52"/>
    <w:rsid w:val="00941A39"/>
    <w:rsid w:val="009428E3"/>
    <w:rsid w:val="0094335F"/>
    <w:rsid w:val="009455FD"/>
    <w:rsid w:val="009456AE"/>
    <w:rsid w:val="0094728C"/>
    <w:rsid w:val="009639E9"/>
    <w:rsid w:val="009650C2"/>
    <w:rsid w:val="00966028"/>
    <w:rsid w:val="009706F3"/>
    <w:rsid w:val="00974535"/>
    <w:rsid w:val="00975CA2"/>
    <w:rsid w:val="00981C01"/>
    <w:rsid w:val="00981D7A"/>
    <w:rsid w:val="0098345A"/>
    <w:rsid w:val="00983665"/>
    <w:rsid w:val="009858A9"/>
    <w:rsid w:val="00990012"/>
    <w:rsid w:val="009941D4"/>
    <w:rsid w:val="009A0C14"/>
    <w:rsid w:val="009A2A36"/>
    <w:rsid w:val="009A4DC8"/>
    <w:rsid w:val="009A5924"/>
    <w:rsid w:val="009B0379"/>
    <w:rsid w:val="009B2EFD"/>
    <w:rsid w:val="009B571E"/>
    <w:rsid w:val="009B7BC0"/>
    <w:rsid w:val="009C1EBA"/>
    <w:rsid w:val="009C401C"/>
    <w:rsid w:val="009C428F"/>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9F7BA8"/>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429D"/>
    <w:rsid w:val="00A55A3B"/>
    <w:rsid w:val="00A61496"/>
    <w:rsid w:val="00A636AA"/>
    <w:rsid w:val="00A664D3"/>
    <w:rsid w:val="00A704F2"/>
    <w:rsid w:val="00A70ABB"/>
    <w:rsid w:val="00A70AF1"/>
    <w:rsid w:val="00A77ECC"/>
    <w:rsid w:val="00A81065"/>
    <w:rsid w:val="00A8166C"/>
    <w:rsid w:val="00A92440"/>
    <w:rsid w:val="00AA1AE6"/>
    <w:rsid w:val="00AA1F74"/>
    <w:rsid w:val="00AA515C"/>
    <w:rsid w:val="00AA7E1D"/>
    <w:rsid w:val="00AB5381"/>
    <w:rsid w:val="00AB6B6C"/>
    <w:rsid w:val="00AB7099"/>
    <w:rsid w:val="00AC1FDF"/>
    <w:rsid w:val="00AC2559"/>
    <w:rsid w:val="00AC464A"/>
    <w:rsid w:val="00AC5EC2"/>
    <w:rsid w:val="00AC60DF"/>
    <w:rsid w:val="00AD2105"/>
    <w:rsid w:val="00AD674D"/>
    <w:rsid w:val="00AE07F9"/>
    <w:rsid w:val="00AE0CD4"/>
    <w:rsid w:val="00AE1366"/>
    <w:rsid w:val="00AE38F8"/>
    <w:rsid w:val="00AE41D9"/>
    <w:rsid w:val="00AE4BF8"/>
    <w:rsid w:val="00AE599A"/>
    <w:rsid w:val="00AE5EF8"/>
    <w:rsid w:val="00AF0195"/>
    <w:rsid w:val="00AF0838"/>
    <w:rsid w:val="00AF6D2A"/>
    <w:rsid w:val="00B058DF"/>
    <w:rsid w:val="00B078C7"/>
    <w:rsid w:val="00B11DF2"/>
    <w:rsid w:val="00B11FAE"/>
    <w:rsid w:val="00B142C3"/>
    <w:rsid w:val="00B150F8"/>
    <w:rsid w:val="00B25C45"/>
    <w:rsid w:val="00B30328"/>
    <w:rsid w:val="00B30588"/>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6235"/>
    <w:rsid w:val="00B97782"/>
    <w:rsid w:val="00BA0545"/>
    <w:rsid w:val="00BA09AA"/>
    <w:rsid w:val="00BA4C8B"/>
    <w:rsid w:val="00BA4D5F"/>
    <w:rsid w:val="00BA5B26"/>
    <w:rsid w:val="00BB0162"/>
    <w:rsid w:val="00BB1837"/>
    <w:rsid w:val="00BB2993"/>
    <w:rsid w:val="00BB31D8"/>
    <w:rsid w:val="00BB3EB3"/>
    <w:rsid w:val="00BB6C02"/>
    <w:rsid w:val="00BB7241"/>
    <w:rsid w:val="00BC2CE7"/>
    <w:rsid w:val="00BC7418"/>
    <w:rsid w:val="00BC7DAF"/>
    <w:rsid w:val="00BD002E"/>
    <w:rsid w:val="00BD2F7D"/>
    <w:rsid w:val="00BD3FCB"/>
    <w:rsid w:val="00BD7E6E"/>
    <w:rsid w:val="00BE1859"/>
    <w:rsid w:val="00BE2DB6"/>
    <w:rsid w:val="00BE7A65"/>
    <w:rsid w:val="00BF075C"/>
    <w:rsid w:val="00BF0782"/>
    <w:rsid w:val="00BF1706"/>
    <w:rsid w:val="00BF18CA"/>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B0002"/>
    <w:rsid w:val="00CB381A"/>
    <w:rsid w:val="00CB54F7"/>
    <w:rsid w:val="00CB6BEC"/>
    <w:rsid w:val="00CC0B79"/>
    <w:rsid w:val="00CC20F5"/>
    <w:rsid w:val="00CC24E6"/>
    <w:rsid w:val="00CC2D33"/>
    <w:rsid w:val="00CC300A"/>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CF7668"/>
    <w:rsid w:val="00CF7B80"/>
    <w:rsid w:val="00D00170"/>
    <w:rsid w:val="00D075AE"/>
    <w:rsid w:val="00D12BF3"/>
    <w:rsid w:val="00D13773"/>
    <w:rsid w:val="00D13F78"/>
    <w:rsid w:val="00D164BD"/>
    <w:rsid w:val="00D249C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1FC8"/>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474A"/>
    <w:rsid w:val="00DD53A0"/>
    <w:rsid w:val="00DE0B72"/>
    <w:rsid w:val="00DE2518"/>
    <w:rsid w:val="00DE2D51"/>
    <w:rsid w:val="00DF1A25"/>
    <w:rsid w:val="00DF3894"/>
    <w:rsid w:val="00DF4416"/>
    <w:rsid w:val="00DF5742"/>
    <w:rsid w:val="00DF7A03"/>
    <w:rsid w:val="00E01657"/>
    <w:rsid w:val="00E04DBC"/>
    <w:rsid w:val="00E060FF"/>
    <w:rsid w:val="00E06F05"/>
    <w:rsid w:val="00E12E18"/>
    <w:rsid w:val="00E142EC"/>
    <w:rsid w:val="00E210CE"/>
    <w:rsid w:val="00E225E8"/>
    <w:rsid w:val="00E246FA"/>
    <w:rsid w:val="00E24C7B"/>
    <w:rsid w:val="00E31C27"/>
    <w:rsid w:val="00E3497F"/>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4E0F"/>
    <w:rsid w:val="00E75A03"/>
    <w:rsid w:val="00E77BF8"/>
    <w:rsid w:val="00E835BF"/>
    <w:rsid w:val="00E85742"/>
    <w:rsid w:val="00E85A3F"/>
    <w:rsid w:val="00E94446"/>
    <w:rsid w:val="00E95D40"/>
    <w:rsid w:val="00E97DD1"/>
    <w:rsid w:val="00EA0BB7"/>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9F0"/>
    <w:rsid w:val="00F21F12"/>
    <w:rsid w:val="00F22919"/>
    <w:rsid w:val="00F2496E"/>
    <w:rsid w:val="00F25C13"/>
    <w:rsid w:val="00F33556"/>
    <w:rsid w:val="00F4121B"/>
    <w:rsid w:val="00F46499"/>
    <w:rsid w:val="00F52060"/>
    <w:rsid w:val="00F54C76"/>
    <w:rsid w:val="00F557E2"/>
    <w:rsid w:val="00F5689C"/>
    <w:rsid w:val="00F57AA4"/>
    <w:rsid w:val="00F617FD"/>
    <w:rsid w:val="00F62F2E"/>
    <w:rsid w:val="00F635BD"/>
    <w:rsid w:val="00F63CA5"/>
    <w:rsid w:val="00F64B78"/>
    <w:rsid w:val="00F70558"/>
    <w:rsid w:val="00F726B1"/>
    <w:rsid w:val="00F73B9C"/>
    <w:rsid w:val="00F73DFE"/>
    <w:rsid w:val="00F74319"/>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val="en-GB" w:eastAsia="en-US"/>
    </w:rPr>
  </w:style>
  <w:style w:type="paragraph" w:styleId="Balk1">
    <w:name w:val="heading 1"/>
    <w:basedOn w:val="Normal"/>
    <w:next w:val="Normal"/>
    <w:link w:val="Balk1Char"/>
    <w:autoRedefine/>
    <w:qFormat/>
    <w:rsid w:val="00E97DD1"/>
    <w:pPr>
      <w:keepNext/>
      <w:numPr>
        <w:numId w:val="16"/>
      </w:numPr>
      <w:spacing w:before="240"/>
      <w:outlineLvl w:val="0"/>
    </w:pPr>
    <w:rPr>
      <w:rFonts w:ascii="Times New Roman Bold" w:hAnsi="Times New Roman Bold"/>
      <w:b/>
      <w:caps/>
      <w:color w:val="000000"/>
      <w:sz w:val="28"/>
      <w:szCs w:val="28"/>
    </w:rPr>
  </w:style>
  <w:style w:type="paragraph" w:styleId="Balk2">
    <w:name w:val="heading 2"/>
    <w:basedOn w:val="Normal"/>
    <w:next w:val="Normal"/>
    <w:link w:val="Balk2Char"/>
    <w:autoRedefine/>
    <w:qFormat/>
    <w:rsid w:val="00CF7668"/>
    <w:pPr>
      <w:keepNext/>
      <w:numPr>
        <w:ilvl w:val="1"/>
        <w:numId w:val="16"/>
      </w:numPr>
      <w:tabs>
        <w:tab w:val="left" w:pos="567"/>
      </w:tabs>
      <w:spacing w:before="240"/>
      <w:outlineLvl w:val="1"/>
    </w:pPr>
    <w:rPr>
      <w:b/>
      <w:szCs w:val="22"/>
    </w:rPr>
  </w:style>
  <w:style w:type="paragraph" w:styleId="Balk3">
    <w:name w:val="heading 3"/>
    <w:basedOn w:val="Normal"/>
    <w:next w:val="Normal"/>
    <w:link w:val="Balk3Char"/>
    <w:qFormat/>
    <w:rsid w:val="00295D97"/>
    <w:pPr>
      <w:numPr>
        <w:ilvl w:val="2"/>
        <w:numId w:val="16"/>
      </w:numPr>
      <w:spacing w:before="240"/>
      <w:outlineLvl w:val="2"/>
    </w:pPr>
    <w:rPr>
      <w:snapToGrid/>
      <w:szCs w:val="22"/>
    </w:rPr>
  </w:style>
  <w:style w:type="paragraph" w:styleId="Balk4">
    <w:name w:val="heading 4"/>
    <w:basedOn w:val="Normal"/>
    <w:next w:val="Normal"/>
    <w:link w:val="Balk4Char"/>
    <w:autoRedefine/>
    <w:qFormat/>
    <w:rsid w:val="001D55A9"/>
    <w:pPr>
      <w:numPr>
        <w:ilvl w:val="3"/>
        <w:numId w:val="16"/>
      </w:numPr>
      <w:spacing w:before="120"/>
      <w:ind w:left="1134"/>
      <w:outlineLvl w:val="3"/>
    </w:pPr>
    <w:rPr>
      <w:szCs w:val="22"/>
    </w:rPr>
  </w:style>
  <w:style w:type="paragraph" w:styleId="Balk5">
    <w:name w:val="heading 5"/>
    <w:basedOn w:val="Normal"/>
    <w:next w:val="Normal"/>
    <w:qFormat/>
    <w:rsid w:val="007F233F"/>
    <w:pPr>
      <w:numPr>
        <w:ilvl w:val="4"/>
        <w:numId w:val="16"/>
      </w:numPr>
      <w:spacing w:before="240"/>
      <w:outlineLvl w:val="4"/>
    </w:pPr>
    <w:rPr>
      <w:szCs w:val="22"/>
    </w:rPr>
  </w:style>
  <w:style w:type="paragraph" w:styleId="Balk6">
    <w:name w:val="heading 6"/>
    <w:basedOn w:val="Normal"/>
    <w:next w:val="Normal"/>
    <w:link w:val="Balk6Char"/>
    <w:semiHidden/>
    <w:unhideWhenUsed/>
    <w:qFormat/>
    <w:rsid w:val="00E97DD1"/>
    <w:pPr>
      <w:numPr>
        <w:ilvl w:val="5"/>
        <w:numId w:val="16"/>
      </w:numPr>
      <w:spacing w:before="240" w:after="60"/>
      <w:outlineLvl w:val="5"/>
    </w:pPr>
    <w:rPr>
      <w:rFonts w:ascii="Calibri" w:hAnsi="Calibri"/>
      <w:b/>
      <w:bCs/>
      <w:szCs w:val="22"/>
    </w:rPr>
  </w:style>
  <w:style w:type="paragraph" w:styleId="Balk7">
    <w:name w:val="heading 7"/>
    <w:basedOn w:val="Normal"/>
    <w:next w:val="Normal"/>
    <w:qFormat/>
    <w:pPr>
      <w:keepNext/>
      <w:numPr>
        <w:ilvl w:val="6"/>
        <w:numId w:val="16"/>
      </w:numPr>
      <w:jc w:val="center"/>
      <w:outlineLvl w:val="6"/>
    </w:pPr>
    <w:rPr>
      <w:rFonts w:ascii="Arial" w:hAnsi="Arial"/>
      <w:b/>
      <w:color w:val="008000"/>
      <w:sz w:val="32"/>
    </w:rPr>
  </w:style>
  <w:style w:type="paragraph" w:styleId="Balk8">
    <w:name w:val="heading 8"/>
    <w:basedOn w:val="Normal"/>
    <w:next w:val="Normal"/>
    <w:qFormat/>
    <w:pPr>
      <w:keepNext/>
      <w:numPr>
        <w:ilvl w:val="7"/>
        <w:numId w:val="16"/>
      </w:numPr>
      <w:outlineLvl w:val="7"/>
    </w:pPr>
    <w:rPr>
      <w:rFonts w:ascii="Arial" w:hAnsi="Arial"/>
      <w:b/>
    </w:rPr>
  </w:style>
  <w:style w:type="paragraph" w:styleId="Balk9">
    <w:name w:val="heading 9"/>
    <w:basedOn w:val="Normal"/>
    <w:next w:val="Normal"/>
    <w:link w:val="Balk9Char"/>
    <w:semiHidden/>
    <w:unhideWhenUsed/>
    <w:qFormat/>
    <w:rsid w:val="00E97DD1"/>
    <w:pPr>
      <w:numPr>
        <w:ilvl w:val="8"/>
        <w:numId w:val="16"/>
      </w:numPr>
      <w:spacing w:before="240" w:after="60"/>
      <w:outlineLvl w:val="8"/>
    </w:pPr>
    <w:rPr>
      <w:rFonts w:ascii="Cambria" w:hAnsi="Cambria"/>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eParagraf">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4"/>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style>
  <w:style w:type="paragraph" w:styleId="GvdeMetni">
    <w:name w:val="Body Text"/>
    <w:basedOn w:val="Normal"/>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uiPriority w:val="99"/>
    <w:qFormat/>
    <w:rsid w:val="00CF634D"/>
    <w:pPr>
      <w:tabs>
        <w:tab w:val="left" w:pos="284"/>
      </w:tabs>
      <w:ind w:left="0"/>
    </w:pPr>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Altyaz">
    <w:name w:val="Subtitle"/>
    <w:basedOn w:val="Normal"/>
    <w:pPr>
      <w:spacing w:before="120"/>
      <w:jc w:val="center"/>
    </w:pPr>
    <w:rPr>
      <w:rFonts w:ascii="Arial" w:hAnsi="Arial"/>
      <w:b/>
      <w:sz w:val="28"/>
      <w:lang w:val="fr-BE"/>
    </w:rPr>
  </w:style>
  <w:style w:type="paragraph" w:styleId="KonuBal">
    <w:name w:val="Title"/>
    <w:basedOn w:val="Normal"/>
    <w:pPr>
      <w:spacing w:before="120"/>
      <w:jc w:val="center"/>
    </w:pPr>
    <w:rPr>
      <w:rFonts w:ascii="Arial" w:hAnsi="Arial"/>
      <w:b/>
      <w:sz w:val="28"/>
      <w:lang w:val="fr-BE"/>
    </w:rPr>
  </w:style>
  <w:style w:type="paragraph" w:styleId="T3">
    <w:name w:val="toc 3"/>
    <w:basedOn w:val="Normal"/>
    <w:next w:val="Normal"/>
    <w:autoRedefine/>
    <w:uiPriority w:val="39"/>
    <w:rsid w:val="004603E9"/>
    <w:pPr>
      <w:ind w:left="480"/>
      <w:jc w:val="left"/>
    </w:pPr>
  </w:style>
  <w:style w:type="paragraph" w:styleId="T4">
    <w:name w:val="toc 4"/>
    <w:basedOn w:val="Normal"/>
    <w:next w:val="Normal"/>
    <w:autoRedefine/>
    <w:uiPriority w:val="39"/>
    <w:pPr>
      <w:ind w:left="720"/>
    </w:pPr>
  </w:style>
  <w:style w:type="paragraph" w:styleId="T5">
    <w:name w:val="toc 5"/>
    <w:basedOn w:val="Normal"/>
    <w:next w:val="Normal"/>
    <w:autoRedefine/>
    <w:uiPriority w:val="39"/>
    <w:pPr>
      <w:ind w:left="960"/>
    </w:pPr>
  </w:style>
  <w:style w:type="paragraph" w:styleId="T6">
    <w:name w:val="toc 6"/>
    <w:basedOn w:val="Normal"/>
    <w:next w:val="Normal"/>
    <w:autoRedefine/>
    <w:uiPriority w:val="39"/>
    <w:pPr>
      <w:ind w:left="1200"/>
    </w:pPr>
  </w:style>
  <w:style w:type="paragraph" w:styleId="T7">
    <w:name w:val="toc 7"/>
    <w:basedOn w:val="Normal"/>
    <w:next w:val="Normal"/>
    <w:autoRedefine/>
    <w:uiPriority w:val="39"/>
    <w:pPr>
      <w:ind w:left="1440"/>
    </w:pPr>
  </w:style>
  <w:style w:type="paragraph" w:styleId="T8">
    <w:name w:val="toc 8"/>
    <w:basedOn w:val="Normal"/>
    <w:next w:val="Normal"/>
    <w:autoRedefine/>
    <w:uiPriority w:val="39"/>
    <w:pPr>
      <w:ind w:left="1680"/>
    </w:pPr>
  </w:style>
  <w:style w:type="paragraph" w:styleId="T9">
    <w:name w:val="toc 9"/>
    <w:basedOn w:val="Normal"/>
    <w:next w:val="Normal"/>
    <w:autoRedefine/>
    <w:uiPriority w:val="39"/>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link w:val="GvdeMetni2Char"/>
    <w:rsid w:val="0068234B"/>
    <w:pPr>
      <w:tabs>
        <w:tab w:val="num" w:pos="567"/>
      </w:tabs>
    </w:pPr>
    <w:rPr>
      <w:snapToGrid/>
      <w:lang w:val="sv-SE" w:eastAsia="en-GB"/>
    </w:rPr>
  </w:style>
  <w:style w:type="character" w:customStyle="1" w:styleId="AklamaMetniChar">
    <w:name w:val="Açıklama Metni Char"/>
    <w:link w:val="AklamaMetni"/>
    <w:rsid w:val="00F557E2"/>
    <w:rPr>
      <w:snapToGrid w:val="0"/>
      <w:lang w:eastAsia="en-US"/>
    </w:rPr>
  </w:style>
  <w:style w:type="character" w:customStyle="1" w:styleId="Balk2Char">
    <w:name w:val="Başlık 2 Char"/>
    <w:link w:val="Balk2"/>
    <w:locked/>
    <w:rsid w:val="00CF7668"/>
    <w:rPr>
      <w:b/>
      <w:snapToGrid w:val="0"/>
      <w:sz w:val="22"/>
      <w:szCs w:val="22"/>
      <w:lang w:val="en-GB" w:eastAsia="en-US"/>
    </w:rPr>
  </w:style>
  <w:style w:type="character" w:styleId="Gl">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Balk3Char">
    <w:name w:val="Başlık 3 Char"/>
    <w:link w:val="Balk3"/>
    <w:rsid w:val="00295D97"/>
    <w:rPr>
      <w:sz w:val="22"/>
      <w:szCs w:val="22"/>
      <w:lang w:val="en-GB" w:eastAsia="en-US"/>
    </w:rPr>
  </w:style>
  <w:style w:type="numbering" w:styleId="111111">
    <w:name w:val="Outline List 2"/>
    <w:basedOn w:val="ListeYok"/>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ListeYok"/>
    <w:rsid w:val="005478E4"/>
    <w:pPr>
      <w:numPr>
        <w:numId w:val="4"/>
      </w:numPr>
    </w:pPr>
  </w:style>
  <w:style w:type="paragraph" w:customStyle="1" w:styleId="StyleHeading3">
    <w:name w:val="Style Heading 3"/>
    <w:basedOn w:val="Balk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Balk2"/>
    <w:rsid w:val="00641155"/>
    <w:pPr>
      <w:spacing w:after="240"/>
      <w:ind w:left="284"/>
      <w:jc w:val="center"/>
    </w:pPr>
    <w:rPr>
      <w:rFonts w:ascii="Verdana" w:hAnsi="Verdana"/>
      <w:snapToGrid/>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5"/>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AklamaBavurusu">
    <w:name w:val="annotation reference"/>
    <w:rsid w:val="004842DD"/>
    <w:rPr>
      <w:sz w:val="16"/>
      <w:szCs w:val="16"/>
    </w:rPr>
  </w:style>
  <w:style w:type="paragraph" w:styleId="AklamaMetni">
    <w:name w:val="annotation text"/>
    <w:basedOn w:val="Normal"/>
    <w:link w:val="AklamaMetniChar"/>
    <w:rsid w:val="004842DD"/>
    <w:rPr>
      <w:sz w:val="20"/>
    </w:rPr>
  </w:style>
  <w:style w:type="paragraph" w:styleId="AklamaKonusu">
    <w:name w:val="annotation subject"/>
    <w:basedOn w:val="AklamaMetni"/>
    <w:next w:val="AklamaMetni"/>
    <w:semiHidden/>
    <w:rsid w:val="004842DD"/>
    <w:rPr>
      <w:b/>
      <w:bCs/>
    </w:rPr>
  </w:style>
  <w:style w:type="character" w:customStyle="1" w:styleId="GvdeMetni2Char">
    <w:name w:val="Gövde Metni 2 Char"/>
    <w:link w:val="GvdeMetni2"/>
    <w:rsid w:val="00F74319"/>
    <w:rPr>
      <w:sz w:val="24"/>
      <w:lang w:val="sv-SE"/>
    </w:rPr>
  </w:style>
  <w:style w:type="character" w:customStyle="1" w:styleId="pointarticleChar">
    <w:name w:val="point article Char"/>
    <w:link w:val="pointarticle"/>
    <w:locked/>
    <w:rsid w:val="00290AE7"/>
    <w:rPr>
      <w:lang w:val="en-GB" w:eastAsia="en-US"/>
    </w:rPr>
  </w:style>
  <w:style w:type="paragraph" w:customStyle="1" w:styleId="pointarticle">
    <w:name w:val="point article"/>
    <w:basedOn w:val="Normal"/>
    <w:link w:val="pointarticleChar"/>
    <w:rsid w:val="00290AE7"/>
    <w:pPr>
      <w:numPr>
        <w:ilvl w:val="1"/>
        <w:numId w:val="15"/>
      </w:numPr>
      <w:spacing w:before="240" w:after="60" w:line="276" w:lineRule="auto"/>
    </w:pPr>
    <w:rPr>
      <w:snapToGrid/>
      <w:sz w:val="20"/>
    </w:rPr>
  </w:style>
  <w:style w:type="paragraph" w:styleId="Dzeltme">
    <w:name w:val="Revision"/>
    <w:hidden/>
    <w:uiPriority w:val="99"/>
    <w:semiHidden/>
    <w:rsid w:val="00BB0162"/>
    <w:rPr>
      <w:snapToGrid w:val="0"/>
      <w:sz w:val="22"/>
      <w:lang w:val="en-GB" w:eastAsia="en-US"/>
    </w:rPr>
  </w:style>
  <w:style w:type="character" w:customStyle="1" w:styleId="Balk4Char">
    <w:name w:val="Başlık 4 Char"/>
    <w:link w:val="Balk4"/>
    <w:rsid w:val="001D55A9"/>
    <w:rPr>
      <w:snapToGrid w:val="0"/>
      <w:sz w:val="22"/>
      <w:szCs w:val="22"/>
      <w:lang w:val="en-GB" w:eastAsia="en-US"/>
    </w:rPr>
  </w:style>
  <w:style w:type="character" w:customStyle="1" w:styleId="Balk6Char">
    <w:name w:val="Başlık 6 Char"/>
    <w:link w:val="Balk6"/>
    <w:semiHidden/>
    <w:rsid w:val="00E97DD1"/>
    <w:rPr>
      <w:rFonts w:ascii="Calibri" w:hAnsi="Calibri"/>
      <w:b/>
      <w:bCs/>
      <w:snapToGrid w:val="0"/>
      <w:sz w:val="22"/>
      <w:szCs w:val="22"/>
      <w:lang w:val="en-GB" w:eastAsia="en-US"/>
    </w:rPr>
  </w:style>
  <w:style w:type="character" w:customStyle="1" w:styleId="Balk9Char">
    <w:name w:val="Başlık 9 Char"/>
    <w:link w:val="Balk9"/>
    <w:semiHidden/>
    <w:rsid w:val="00E97DD1"/>
    <w:rPr>
      <w:rFonts w:ascii="Cambria" w:hAnsi="Cambria"/>
      <w:snapToGrid w:val="0"/>
      <w:sz w:val="22"/>
      <w:szCs w:val="22"/>
      <w:lang w:val="en-GB" w:eastAsia="en-US"/>
    </w:rPr>
  </w:style>
  <w:style w:type="character" w:styleId="Vurgu">
    <w:name w:val="Emphasis"/>
    <w:qFormat/>
    <w:rsid w:val="006D46E8"/>
    <w:rPr>
      <w:i/>
    </w:rPr>
  </w:style>
  <w:style w:type="paragraph" w:styleId="TBal">
    <w:name w:val="TOC Heading"/>
    <w:basedOn w:val="Balk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rsid w:val="000F3C1A"/>
    <w:rPr>
      <w:snapToGrid w:val="0"/>
      <w:lang w:eastAsia="en-US"/>
    </w:rPr>
  </w:style>
  <w:style w:type="paragraph" w:customStyle="1" w:styleId="Char2">
    <w:name w:val="Char2"/>
    <w:basedOn w:val="Normal"/>
    <w:link w:val="DipnotBavurusu"/>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7"/>
      </w:numPr>
      <w:spacing w:after="0"/>
    </w:pPr>
    <w:rPr>
      <w:snapToGrid/>
      <w:sz w:val="24"/>
      <w:szCs w:val="24"/>
      <w:lang w:eastAsia="en-GB"/>
    </w:rPr>
  </w:style>
  <w:style w:type="character" w:customStyle="1" w:styleId="NumberedChar">
    <w:name w:val="Numbered Char"/>
    <w:link w:val="Numbered"/>
    <w:rsid w:val="00C15024"/>
    <w:rPr>
      <w:sz w:val="24"/>
      <w:szCs w:val="24"/>
      <w:lang w:val="en-GB" w:eastAsia="en-GB"/>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Balk1Char">
    <w:name w:val="Başlık 1 Char"/>
    <w:link w:val="Balk1"/>
    <w:rsid w:val="00CF7668"/>
    <w:rPr>
      <w:rFonts w:ascii="Times New Roman Bold" w:hAnsi="Times New Roman Bold"/>
      <w:b/>
      <w:caps/>
      <w:snapToGrid w:val="0"/>
      <w:color w:val="000000"/>
      <w:sz w:val="28"/>
      <w:szCs w:val="28"/>
      <w:lang w:val="en-GB" w:eastAsia="en-US"/>
    </w:rPr>
  </w:style>
  <w:style w:type="character" w:styleId="zmlenmeyenBahsetme">
    <w:name w:val="Unresolved Mention"/>
    <w:uiPriority w:val="99"/>
    <w:semiHidden/>
    <w:unhideWhenUsed/>
    <w:rsid w:val="00AE0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ipacbc-bgtr.eu/" TargetMode="Externa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kesan.bel.t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ipacbc-bgtr.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esan.bel.t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4507DA-11A0-4CEA-93F4-850D7A415D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3AF99E-6A52-47D9-A8D4-12F338FCD237}">
  <ds:schemaRefs>
    <ds:schemaRef ds:uri="http://schemas.microsoft.com/sharepoint/v3/contenttype/forms"/>
  </ds:schemaRefs>
</ds:datastoreItem>
</file>

<file path=customXml/itemProps3.xml><?xml version="1.0" encoding="utf-8"?>
<ds:datastoreItem xmlns:ds="http://schemas.openxmlformats.org/officeDocument/2006/customXml" ds:itemID="{D2841FF5-FA04-47F0-88E2-80B14D6C795C}">
  <ds:schemaRefs>
    <ds:schemaRef ds:uri="http://schemas.openxmlformats.org/officeDocument/2006/bibliography"/>
  </ds:schemaRefs>
</ds:datastoreItem>
</file>

<file path=customXml/itemProps4.xml><?xml version="1.0" encoding="utf-8"?>
<ds:datastoreItem xmlns:ds="http://schemas.openxmlformats.org/officeDocument/2006/customXml" ds:itemID="{8AD57E84-A30A-461F-A313-EFCF9DED8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21</Pages>
  <Words>7025</Words>
  <Characters>40047</Characters>
  <Application>Microsoft Office Word</Application>
  <DocSecurity>0</DocSecurity>
  <Lines>333</Lines>
  <Paragraphs>93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46979</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nazife ahmedova</cp:lastModifiedBy>
  <cp:revision>118</cp:revision>
  <cp:lastPrinted>2018-11-08T15:51:00Z</cp:lastPrinted>
  <dcterms:created xsi:type="dcterms:W3CDTF">2021-03-11T17:04:00Z</dcterms:created>
  <dcterms:modified xsi:type="dcterms:W3CDTF">2022-01-20T06:54:00Z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