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C52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7955568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6FA3A97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8A69B7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AA6A0D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575EB2B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7CBA2E5" w14:textId="77777777" w:rsidR="000417E2" w:rsidRPr="00390B2D" w:rsidRDefault="00623B00" w:rsidP="00390B2D">
      <w:pPr>
        <w:pStyle w:val="oddl-nadpis"/>
        <w:keepNext w:val="0"/>
        <w:widowControl/>
        <w:jc w:val="center"/>
        <w:rPr>
          <w:rFonts w:ascii="Times New Roman" w:hAnsi="Times New Roman"/>
          <w:i/>
          <w:szCs w:val="24"/>
          <w:lang w:val="en-GB"/>
        </w:rPr>
      </w:pPr>
      <w:r w:rsidRPr="00390B2D">
        <w:rPr>
          <w:rFonts w:ascii="Times New Roman" w:hAnsi="Times New Roman"/>
          <w:smallCaps/>
          <w:szCs w:val="24"/>
        </w:rPr>
        <w:t>No</w:t>
      </w:r>
      <w:r w:rsidR="009B30FB" w:rsidRPr="00390B2D">
        <w:rPr>
          <w:rFonts w:ascii="Times New Roman" w:hAnsi="Times New Roman"/>
          <w:i/>
          <w:smallCaps/>
          <w:szCs w:val="24"/>
        </w:rPr>
        <w:t xml:space="preserve"> </w:t>
      </w:r>
      <w:r w:rsidR="00390B2D" w:rsidRPr="00390B2D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</w:p>
    <w:p w14:paraId="4A34EF9A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g</w:t>
      </w: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b</w:t>
      </w:r>
      <w:r w:rsidRPr="00390B2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90B2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BD8BA90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>-r Asen Zlatarov</w:t>
      </w:r>
      <w:r>
        <w:rPr>
          <w:rFonts w:ascii="Times New Roman" w:hAnsi="Times New Roman"/>
          <w:sz w:val="22"/>
          <w:szCs w:val="22"/>
          <w:lang w:val="en-GB"/>
        </w:rPr>
        <w:t>”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747A1B6C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0B7AFAD8" w14:textId="77777777" w:rsidR="00390B2D" w:rsidRPr="009B30FB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>
        <w:rPr>
          <w:rFonts w:ascii="Times New Roman" w:hAnsi="Times New Roman"/>
          <w:sz w:val="22"/>
          <w:szCs w:val="22"/>
          <w:lang w:val="en-GB"/>
        </w:rPr>
        <w:t xml:space="preserve">Y. </w:t>
      </w:r>
      <w:r w:rsidRPr="0038086F">
        <w:rPr>
          <w:rFonts w:ascii="Times New Roman" w:hAnsi="Times New Roman"/>
          <w:sz w:val="22"/>
          <w:szCs w:val="22"/>
          <w:lang w:val="en-GB"/>
        </w:rPr>
        <w:t>Yakimov str., Burgas, Burgas District, Bulgaria</w:t>
      </w:r>
    </w:p>
    <w:p w14:paraId="07F5E6A5" w14:textId="77777777" w:rsidR="004D2FD8" w:rsidRPr="00387E08" w:rsidRDefault="00390B2D" w:rsidP="00390B2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F9E07ED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6CA313F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4106B3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4AAEE80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C8C6670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142AA88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3595071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313CBA9E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1D0160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6E9706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4899D78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096C94">
        <w:rPr>
          <w:rFonts w:ascii="Times New Roman" w:hAnsi="Times New Roman"/>
          <w:b/>
          <w:sz w:val="28"/>
          <w:szCs w:val="28"/>
          <w:lang w:val="en-GB"/>
        </w:rPr>
        <w:t>“Cross-border Regions Collaborate for BLUE GROWTH” (BLUE GROWTH COLLABs)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0E6B0014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096C94">
        <w:rPr>
          <w:rFonts w:ascii="Times New Roman" w:hAnsi="Times New Roman"/>
          <w:b/>
          <w:bCs/>
          <w:sz w:val="22"/>
          <w:szCs w:val="22"/>
          <w:lang w:val="en-GB"/>
        </w:rPr>
        <w:t xml:space="preserve">Subsidy contract </w:t>
      </w:r>
      <w:r w:rsidRPr="00096C94">
        <w:rPr>
          <w:rFonts w:ascii="Times New Roman" w:hAnsi="Times New Roman"/>
          <w:b/>
          <w:bCs/>
          <w:sz w:val="22"/>
          <w:szCs w:val="22"/>
          <w:lang w:val="bg-BG"/>
        </w:rPr>
        <w:t>РД-02-29-170/09.10.2020</w:t>
      </w:r>
    </w:p>
    <w:p w14:paraId="39EEBFEE" w14:textId="77777777" w:rsidR="00390B2D" w:rsidRDefault="00390B2D" w:rsidP="00390B2D">
      <w:pPr>
        <w:spacing w:before="240" w:after="0"/>
        <w:jc w:val="center"/>
        <w:outlineLvl w:val="0"/>
        <w:rPr>
          <w:rStyle w:val="Strong"/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Fonts w:ascii="Times New Roman" w:hAnsi="Times New Roman"/>
          <w:b/>
          <w:sz w:val="28"/>
          <w:lang w:val="en-GB"/>
        </w:rPr>
        <w:t xml:space="preserve">CONTRACT TITLE: </w:t>
      </w: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Supply of consumables for the purposes of the scientific laboratories of the BLUE GROWTH Research Centre at “Prof. D-r Asen Zlatarov” University of Burgas</w:t>
      </w:r>
    </w:p>
    <w:p w14:paraId="1745DDF0" w14:textId="77777777" w:rsidR="00105B42" w:rsidRDefault="000A5734" w:rsidP="00514BE0">
      <w:pPr>
        <w:spacing w:before="240" w:after="240"/>
        <w:jc w:val="center"/>
        <w:outlineLvl w:val="0"/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</w:pPr>
      <w:r w:rsidRPr="000A5734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Lot 5: Supply of reagents and certified materials for the a</w:t>
      </w:r>
      <w:r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 xml:space="preserve">nalysis of </w:t>
      </w:r>
      <w:r w:rsid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the Water Pollution Monitoring Lab</w:t>
      </w:r>
      <w:r w:rsidR="00105B42" w:rsidRP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 xml:space="preserve">, </w:t>
      </w:r>
      <w:r w:rsid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the Aquatic Ecosystem Analysis Lab</w:t>
      </w:r>
      <w:r w:rsidR="00105B42" w:rsidRP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 xml:space="preserve"> and </w:t>
      </w:r>
      <w:r w:rsid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the Aquaculture and Biotechnology Lab</w:t>
      </w:r>
    </w:p>
    <w:p w14:paraId="6E5FF6CF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90B2D" w:rsidRPr="00390B2D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CB005.3.12.001 - LP - Supply 13</w:t>
      </w:r>
    </w:p>
    <w:p w14:paraId="728C4CFF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B72BEC3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C0CF683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859D7DB" w14:textId="77777777" w:rsidR="004D2FD8" w:rsidRPr="007B3C5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 xml:space="preserve">the </w:t>
      </w:r>
      <w:r w:rsidR="00D5158D" w:rsidRPr="007B3C53">
        <w:rPr>
          <w:rFonts w:ascii="Times New Roman" w:hAnsi="Times New Roman"/>
          <w:sz w:val="22"/>
          <w:lang w:val="en-GB"/>
        </w:rPr>
        <w:t>supply</w:t>
      </w:r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of the following supplies:</w:t>
      </w:r>
    </w:p>
    <w:p w14:paraId="19BAC55A" w14:textId="77777777" w:rsidR="00390B2D" w:rsidRPr="007B3C53" w:rsidRDefault="000A5734" w:rsidP="00202A00">
      <w:pPr>
        <w:ind w:left="360"/>
        <w:outlineLvl w:val="0"/>
        <w:rPr>
          <w:rFonts w:ascii="Times New Roman" w:hAnsi="Times New Roman"/>
          <w:sz w:val="22"/>
          <w:lang w:val="en-GB"/>
        </w:rPr>
      </w:pPr>
      <w:r w:rsidRPr="000A5734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Lot 5: Supply of reagents and certified materials for the a</w:t>
      </w: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nalysis </w:t>
      </w:r>
      <w:r w:rsidR="00105B42"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of the </w:t>
      </w:r>
      <w:r w:rsid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Water Pollution Monitoring Lab</w:t>
      </w:r>
      <w:r w:rsidR="00105B42"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, </w:t>
      </w:r>
      <w:r w:rsid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the Aquatic Ecosystem Analysis Lab</w:t>
      </w:r>
      <w:r w:rsidR="00105B42"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and </w:t>
      </w:r>
      <w:r w:rsid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the Aquaculture and Biotechnology Lab </w:t>
      </w:r>
      <w:r w:rsidR="00390B2D" w:rsidRPr="007B3C53">
        <w:rPr>
          <w:rFonts w:ascii="Times New Roman" w:hAnsi="Times New Roman"/>
          <w:sz w:val="22"/>
          <w:lang w:val="en-GB"/>
        </w:rPr>
        <w:t>at the BLUE GROWTH Research Centre of “Prof. D-r Asen Zlatarov” University of Burgas, as per the Annex II+III Technical specifications and Technical offer of the Contractor.</w:t>
      </w:r>
    </w:p>
    <w:p w14:paraId="2D31CA8A" w14:textId="14C71529" w:rsidR="004F436A" w:rsidRPr="004F436A" w:rsidRDefault="00390B2D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consumables to be supplied under the contract include: </w:t>
      </w:r>
      <w:r w:rsidR="000A5734">
        <w:rPr>
          <w:rFonts w:ascii="Times New Roman" w:hAnsi="Times New Roman"/>
          <w:sz w:val="22"/>
          <w:lang w:val="en-GB"/>
        </w:rPr>
        <w:t>reagents, consumables for ICP apparatus, calibration standards, certified materials, gas bottled for Gas Chromatograph, etc.</w:t>
      </w:r>
      <w:r w:rsidR="00D244BD">
        <w:rPr>
          <w:rFonts w:ascii="Times New Roman" w:hAnsi="Times New Roman"/>
          <w:sz w:val="22"/>
          <w:lang w:val="en-GB"/>
        </w:rPr>
        <w:t>, quantities specified in the Technical specifications.</w:t>
      </w:r>
    </w:p>
    <w:p w14:paraId="6A33D67D" w14:textId="77777777" w:rsidR="004F436A" w:rsidRDefault="004F436A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p w14:paraId="61B868C0" w14:textId="77777777" w:rsidR="009B0CF1" w:rsidRPr="007B70EE" w:rsidRDefault="009B0CF1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B3C53" w:rsidRPr="007B3C53">
        <w:rPr>
          <w:rFonts w:ascii="Times New Roman" w:hAnsi="Times New Roman"/>
          <w:sz w:val="22"/>
          <w:lang w:val="en-GB"/>
        </w:rPr>
        <w:t>“Prof. D-r Asen Zlatarov” University, address: 1 Prof. Y. Yakimov str., Burgas, Burgas District, Bulgaria</w:t>
      </w:r>
      <w:r w:rsidR="00B202BC" w:rsidRPr="007B3C53">
        <w:rPr>
          <w:rFonts w:ascii="Times New Roman" w:hAnsi="Times New Roman"/>
          <w:sz w:val="22"/>
          <w:lang w:val="en-GB"/>
        </w:rPr>
        <w:t xml:space="preserve">, </w:t>
      </w:r>
      <w:r w:rsidRPr="007B3C53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B3C53" w:rsidRPr="007B3C53">
        <w:rPr>
          <w:rFonts w:ascii="Times New Roman" w:hAnsi="Times New Roman"/>
          <w:sz w:val="22"/>
          <w:lang w:val="en-GB"/>
        </w:rPr>
        <w:t>90 calendar days</w:t>
      </w:r>
      <w:r w:rsidR="00B202BC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B3C5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B3C53">
        <w:rPr>
          <w:rFonts w:ascii="Times New Roman" w:hAnsi="Times New Roman"/>
          <w:sz w:val="22"/>
          <w:lang w:val="en-GB"/>
        </w:rPr>
        <w:t xml:space="preserve">. The </w:t>
      </w:r>
      <w:r w:rsidR="00360344" w:rsidRPr="007B3C53">
        <w:rPr>
          <w:rFonts w:ascii="Times New Roman" w:hAnsi="Times New Roman"/>
          <w:sz w:val="22"/>
          <w:lang w:val="en-GB"/>
        </w:rPr>
        <w:t>implementation</w:t>
      </w:r>
      <w:r w:rsidRPr="007B3C53">
        <w:rPr>
          <w:rFonts w:ascii="Times New Roman" w:hAnsi="Times New Roman"/>
          <w:sz w:val="22"/>
          <w:lang w:val="en-GB"/>
        </w:rPr>
        <w:t xml:space="preserve"> period</w:t>
      </w:r>
      <w:r w:rsidR="00387E08" w:rsidRPr="007B3C53">
        <w:rPr>
          <w:rFonts w:ascii="Times New Roman" w:hAnsi="Times New Roman"/>
          <w:sz w:val="22"/>
          <w:lang w:val="en-GB"/>
        </w:rPr>
        <w:t xml:space="preserve"> of tasks</w:t>
      </w:r>
      <w:r w:rsidRPr="007B3C53">
        <w:rPr>
          <w:rFonts w:ascii="Times New Roman" w:hAnsi="Times New Roman"/>
          <w:sz w:val="22"/>
          <w:lang w:val="en-GB"/>
        </w:rPr>
        <w:t xml:space="preserve"> shall run from </w:t>
      </w:r>
      <w:r w:rsidR="007B3C53" w:rsidRPr="007B3C53">
        <w:rPr>
          <w:rFonts w:ascii="Times New Roman" w:hAnsi="Times New Roman"/>
          <w:sz w:val="22"/>
          <w:lang w:val="en-GB"/>
        </w:rPr>
        <w:t>date of signature of the contract by parties to date for provisional acceptance.</w:t>
      </w:r>
    </w:p>
    <w:p w14:paraId="7A978ACD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2B4E0B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01EC60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7A078DA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249096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6FA95D3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7B3C53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46529E96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A9ABF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DB7375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8D3F8D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6FE85A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D5A5C4B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E93700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793E958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0FAA6EB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5AE2679A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3AAD5DE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7F75FE6" w14:textId="77777777" w:rsidR="007B3C53" w:rsidRDefault="007B3C53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826C84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2DD4D50" w14:textId="77777777" w:rsidR="00462120" w:rsidRPr="007B3C53" w:rsidRDefault="007B3C53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lastRenderedPageBreak/>
        <w:t xml:space="preserve"> </w:t>
      </w:r>
      <w:r w:rsidR="00462120" w:rsidRPr="007B3C5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7B3C5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7B3C5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5EEBDEE3" w14:textId="77777777" w:rsidR="007B3C53" w:rsidRPr="007B3C53" w:rsidRDefault="00462120" w:rsidP="007B3C53">
      <w:pPr>
        <w:jc w:val="both"/>
        <w:rPr>
          <w:rFonts w:ascii="Times New Roman" w:hAnsi="Times New Roman"/>
          <w:sz w:val="22"/>
          <w:szCs w:val="22"/>
        </w:rPr>
      </w:pPr>
      <w:r w:rsidRPr="007B3C53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7B3C53" w:rsidRPr="007B3C53">
        <w:rPr>
          <w:rFonts w:ascii="Times New Roman" w:hAnsi="Times New Roman"/>
          <w:sz w:val="22"/>
          <w:szCs w:val="22"/>
        </w:rPr>
        <w:t xml:space="preserve"> the head of contracts and finance unit R4 of DG Neighbourhood and Enlargement Negotiations.</w:t>
      </w:r>
    </w:p>
    <w:p w14:paraId="19D288BA" w14:textId="77777777" w:rsidR="00462120" w:rsidRPr="0068104F" w:rsidRDefault="007B3C53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B3C53">
        <w:rPr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</w:rPr>
        <w:t xml:space="preserve">(b)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3CD40E61" w14:textId="77777777" w:rsidR="007B3C53" w:rsidRDefault="007B3C5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2E386BAB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B3C53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7B3C53">
        <w:rPr>
          <w:rFonts w:ascii="Times New Roman" w:hAnsi="Times New Roman"/>
          <w:sz w:val="22"/>
          <w:szCs w:val="22"/>
          <w:lang w:val="en-GB"/>
        </w:rPr>
        <w:t>originals</w:t>
      </w:r>
      <w:r w:rsidRPr="007B3C53">
        <w:rPr>
          <w:rFonts w:ascii="Times New Roman" w:hAnsi="Times New Roman"/>
          <w:sz w:val="22"/>
          <w:lang w:val="en-GB"/>
        </w:rPr>
        <w:t xml:space="preserve"> </w:t>
      </w:r>
      <w:r w:rsidR="007B3C53" w:rsidRPr="007B3C53">
        <w:rPr>
          <w:rFonts w:ascii="Times New Roman" w:hAnsi="Times New Roman"/>
          <w:sz w:val="22"/>
          <w:lang w:val="en-GB"/>
        </w:rPr>
        <w:t>a</w:t>
      </w:r>
      <w:r w:rsidRPr="007B3C53">
        <w:rPr>
          <w:rFonts w:ascii="Times New Roman" w:hAnsi="Times New Roman"/>
          <w:sz w:val="22"/>
          <w:lang w:val="en-GB"/>
        </w:rPr>
        <w:t xml:space="preserve">nd one original being for the </w:t>
      </w:r>
      <w:r w:rsidR="00531265" w:rsidRPr="007B3C53">
        <w:rPr>
          <w:rFonts w:ascii="Times New Roman" w:hAnsi="Times New Roman"/>
          <w:sz w:val="22"/>
          <w:lang w:val="en-GB"/>
        </w:rPr>
        <w:t>c</w:t>
      </w:r>
      <w:r w:rsidR="002D47E8" w:rsidRPr="007B3C53">
        <w:rPr>
          <w:rFonts w:ascii="Times New Roman" w:hAnsi="Times New Roman"/>
          <w:sz w:val="22"/>
          <w:lang w:val="en-GB"/>
        </w:rPr>
        <w:t>ontractor</w:t>
      </w:r>
      <w:r w:rsidRPr="007B3C53">
        <w:rPr>
          <w:rFonts w:ascii="Times New Roman" w:hAnsi="Times New Roman"/>
          <w:sz w:val="22"/>
          <w:lang w:val="en-GB"/>
        </w:rPr>
        <w:t>.</w:t>
      </w:r>
    </w:p>
    <w:p w14:paraId="45873D1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134"/>
        <w:gridCol w:w="902"/>
        <w:gridCol w:w="2322"/>
      </w:tblGrid>
      <w:tr w:rsidR="004D2FD8" w:rsidRPr="007B70EE" w14:paraId="7F2F9D0C" w14:textId="77777777" w:rsidTr="007B3C53">
        <w:trPr>
          <w:trHeight w:val="520"/>
        </w:trPr>
        <w:tc>
          <w:tcPr>
            <w:tcW w:w="4253" w:type="dxa"/>
            <w:gridSpan w:val="2"/>
          </w:tcPr>
          <w:p w14:paraId="703F572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8FF24B2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4279D3F" w14:textId="77777777" w:rsidTr="007B3C53">
        <w:trPr>
          <w:trHeight w:val="555"/>
        </w:trPr>
        <w:tc>
          <w:tcPr>
            <w:tcW w:w="1276" w:type="dxa"/>
          </w:tcPr>
          <w:p w14:paraId="60A8D42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77" w:type="dxa"/>
          </w:tcPr>
          <w:p w14:paraId="47DF297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5745AF0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24" w:type="dxa"/>
            <w:gridSpan w:val="2"/>
          </w:tcPr>
          <w:p w14:paraId="2757F390" w14:textId="77777777" w:rsidR="004D2FD8" w:rsidRPr="007B70EE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Prof. Magdalena Mitkova, PhD</w:t>
            </w:r>
          </w:p>
        </w:tc>
      </w:tr>
      <w:tr w:rsidR="004D2FD8" w:rsidRPr="007B70EE" w14:paraId="62883F28" w14:textId="77777777" w:rsidTr="007B3C53">
        <w:trPr>
          <w:trHeight w:val="577"/>
        </w:trPr>
        <w:tc>
          <w:tcPr>
            <w:tcW w:w="1276" w:type="dxa"/>
          </w:tcPr>
          <w:p w14:paraId="2EC87419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77" w:type="dxa"/>
          </w:tcPr>
          <w:p w14:paraId="5B1AA07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278A2C8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24" w:type="dxa"/>
            <w:gridSpan w:val="2"/>
          </w:tcPr>
          <w:p w14:paraId="7ADBEFB7" w14:textId="77777777" w:rsidR="004D2FD8" w:rsidRPr="00A940DC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Rector</w:t>
            </w:r>
          </w:p>
        </w:tc>
      </w:tr>
      <w:tr w:rsidR="004D2FD8" w:rsidRPr="007B70EE" w14:paraId="464AE0EA" w14:textId="77777777" w:rsidTr="007B3C53">
        <w:trPr>
          <w:trHeight w:val="878"/>
        </w:trPr>
        <w:tc>
          <w:tcPr>
            <w:tcW w:w="1276" w:type="dxa"/>
          </w:tcPr>
          <w:p w14:paraId="1FEBCF2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476DB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EBE009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A29D1FC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16999AB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B392F4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4BD6AD4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05C330E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C37BDC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79179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24" w:type="dxa"/>
            <w:gridSpan w:val="2"/>
          </w:tcPr>
          <w:p w14:paraId="4D8A1B6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8CA3A5B" w14:textId="77777777" w:rsidTr="007B3C53">
        <w:trPr>
          <w:trHeight w:val="428"/>
        </w:trPr>
        <w:tc>
          <w:tcPr>
            <w:tcW w:w="1276" w:type="dxa"/>
          </w:tcPr>
          <w:p w14:paraId="41A3535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C009E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2F4843E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0261A0C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7660C98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7A21245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47B8F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24" w:type="dxa"/>
            <w:gridSpan w:val="2"/>
          </w:tcPr>
          <w:p w14:paraId="734C14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C59D905" w14:textId="77777777" w:rsidTr="007B3C53">
        <w:trPr>
          <w:trHeight w:val="660"/>
        </w:trPr>
        <w:tc>
          <w:tcPr>
            <w:tcW w:w="8611" w:type="dxa"/>
            <w:gridSpan w:val="5"/>
          </w:tcPr>
          <w:p w14:paraId="112D92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76C5C3FD" w14:textId="77777777" w:rsidTr="007B3C53">
        <w:trPr>
          <w:trHeight w:val="574"/>
        </w:trPr>
        <w:tc>
          <w:tcPr>
            <w:tcW w:w="1276" w:type="dxa"/>
          </w:tcPr>
          <w:p w14:paraId="3DE7683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7195BFD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18ECE43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52FAB38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6B957C2D" w14:textId="77777777" w:rsidTr="007B3C53">
        <w:trPr>
          <w:trHeight w:val="568"/>
        </w:trPr>
        <w:tc>
          <w:tcPr>
            <w:tcW w:w="1276" w:type="dxa"/>
          </w:tcPr>
          <w:p w14:paraId="1BFCB67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48F119A5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6471B90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79D4964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47305111" w14:textId="77777777" w:rsidTr="007B3C53">
        <w:trPr>
          <w:trHeight w:val="890"/>
        </w:trPr>
        <w:tc>
          <w:tcPr>
            <w:tcW w:w="1276" w:type="dxa"/>
          </w:tcPr>
          <w:p w14:paraId="60C9C3A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3763E0D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0DB6808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2D6CEF9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79185D95" w14:textId="77777777" w:rsidTr="007B3C53">
        <w:trPr>
          <w:trHeight w:val="409"/>
        </w:trPr>
        <w:tc>
          <w:tcPr>
            <w:tcW w:w="1276" w:type="dxa"/>
          </w:tcPr>
          <w:p w14:paraId="23A2D185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14:paraId="384C94B6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6CF1E933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</w:tcPr>
          <w:p w14:paraId="178C36A0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6CB05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E1AE1" w14:textId="77777777" w:rsidR="00F6143E" w:rsidRDefault="00F6143E">
      <w:r>
        <w:separator/>
      </w:r>
    </w:p>
    <w:p w14:paraId="48F9E41B" w14:textId="77777777" w:rsidR="00F6143E" w:rsidRDefault="00F6143E"/>
  </w:endnote>
  <w:endnote w:type="continuationSeparator" w:id="0">
    <w:p w14:paraId="5AABE5FF" w14:textId="77777777" w:rsidR="00F6143E" w:rsidRDefault="00F6143E">
      <w:r>
        <w:continuationSeparator/>
      </w:r>
    </w:p>
    <w:p w14:paraId="0FA35855" w14:textId="77777777" w:rsidR="00F6143E" w:rsidRDefault="00F614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C2A9D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718AA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A573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0A573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6BA1F27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3A8A9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FEA180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7DF51" w14:textId="77777777" w:rsidR="00F6143E" w:rsidRDefault="00F6143E" w:rsidP="008056C4">
      <w:pPr>
        <w:spacing w:before="0" w:after="0"/>
      </w:pPr>
      <w:r>
        <w:separator/>
      </w:r>
    </w:p>
  </w:footnote>
  <w:footnote w:type="continuationSeparator" w:id="0">
    <w:p w14:paraId="3ABCAC55" w14:textId="77777777" w:rsidR="00F6143E" w:rsidRDefault="00F6143E">
      <w:r>
        <w:continuationSeparator/>
      </w:r>
    </w:p>
    <w:p w14:paraId="732C1CAE" w14:textId="77777777" w:rsidR="00F6143E" w:rsidRDefault="00F6143E"/>
  </w:footnote>
  <w:footnote w:id="1">
    <w:p w14:paraId="5988F6B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766CCEE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74B1FC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80F12CD" w14:textId="77777777" w:rsidR="00326BE0" w:rsidRPr="00C675D1" w:rsidRDefault="00326BE0" w:rsidP="008056C4">
      <w:pPr>
        <w:pStyle w:val="FootnoteText"/>
        <w:rPr>
          <w:lang w:val="en-GB"/>
        </w:rPr>
      </w:pPr>
      <w:r w:rsidRPr="007B3C53">
        <w:rPr>
          <w:rStyle w:val="FootnoteReference"/>
        </w:rPr>
        <w:footnoteRef/>
      </w:r>
      <w:r w:rsidR="00764FC7" w:rsidRPr="007B3C53">
        <w:rPr>
          <w:lang w:val="en-GB"/>
        </w:rPr>
        <w:tab/>
      </w:r>
      <w:r w:rsidRPr="007B3C53">
        <w:rPr>
          <w:lang w:val="en-GB"/>
        </w:rPr>
        <w:t>DDP (Delivered Duty Paid)</w:t>
      </w:r>
      <w:r w:rsidRPr="007B3C53">
        <w:rPr>
          <w:sz w:val="22"/>
          <w:szCs w:val="22"/>
          <w:lang w:val="en-GB"/>
        </w:rPr>
        <w:t xml:space="preserve"> </w:t>
      </w:r>
      <w:r w:rsidRPr="007B3C53">
        <w:rPr>
          <w:lang w:val="en-GB"/>
        </w:rPr>
        <w:t>- Incoterms 20</w:t>
      </w:r>
      <w:r w:rsidR="00A05FAD" w:rsidRPr="007B3C53">
        <w:rPr>
          <w:lang w:val="en-GB"/>
        </w:rPr>
        <w:t>2</w:t>
      </w:r>
      <w:r w:rsidRPr="007B3C53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85805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6B300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89277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5734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B42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2A00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0B2D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436A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3C53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79AB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4BD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67B17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143E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3597C9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CC7AA-3777-4B67-ADC3-5E0425C1F6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4659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2022-08-21T22:28:00Z</dcterms:created>
  <dcterms:modified xsi:type="dcterms:W3CDTF">2022-08-22T20:10:00Z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