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4168E" w14:textId="77777777" w:rsidR="005918AE" w:rsidRDefault="008504CB" w:rsidP="005B1FDA">
      <w:pPr>
        <w:pStyle w:val="Heading1"/>
        <w:numPr>
          <w:ilvl w:val="0"/>
          <w:numId w:val="0"/>
        </w:numPr>
        <w:ind w:left="1" w:right="-144"/>
      </w:pPr>
      <w:bookmarkStart w:id="0" w:name="_heading=h.gjdgxs" w:colFirst="0" w:colLast="0"/>
      <w:bookmarkEnd w:id="0"/>
      <w:r>
        <w:t>A.</w:t>
      </w:r>
      <w:r>
        <w:tab/>
        <w:t>INSTRUCTIONS TO TENDERERS</w:t>
      </w:r>
    </w:p>
    <w:p w14:paraId="0A820940" w14:textId="77777777" w:rsidR="005918AE" w:rsidRDefault="008504CB">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71498D">
        <w:rPr>
          <w:rFonts w:ascii="Times New Roman" w:eastAsia="Times New Roman" w:hAnsi="Times New Roman" w:cs="Times New Roman"/>
        </w:rPr>
        <w:t>PUBLICATION REF.: CB005.3.12.001 - LP – Supply 3</w:t>
      </w:r>
    </w:p>
    <w:p w14:paraId="39A9908D" w14:textId="77777777" w:rsidR="005918AE" w:rsidRDefault="008504CB">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391B42D2" w14:textId="77777777" w:rsidR="005918AE" w:rsidRDefault="008504CB">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65DF44B5" w14:textId="77777777" w:rsidR="005918AE" w:rsidRDefault="008504CB">
      <w:pPr>
        <w:pStyle w:val="Heading1"/>
        <w:numPr>
          <w:ilvl w:val="0"/>
          <w:numId w:val="3"/>
        </w:numPr>
        <w:ind w:left="1" w:hanging="3"/>
      </w:pPr>
      <w:r>
        <w:t>Supplies to be provided</w:t>
      </w:r>
    </w:p>
    <w:p w14:paraId="79BFBC9B" w14:textId="53A3F3D5" w:rsidR="005918AE" w:rsidRDefault="008504CB" w:rsidP="005B1FDA">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r w:rsidR="005B1FDA">
        <w:rPr>
          <w:rFonts w:ascii="Times New Roman" w:eastAsia="Times New Roman" w:hAnsi="Times New Roman" w:cs="Times New Roman"/>
          <w:sz w:val="22"/>
          <w:szCs w:val="22"/>
        </w:rPr>
        <w:t xml:space="preserve"> </w:t>
      </w:r>
      <w:bookmarkStart w:id="3" w:name="_heading=h.3znysh7" w:colFirst="0" w:colLast="0"/>
      <w:bookmarkEnd w:id="3"/>
      <w:r>
        <w:rPr>
          <w:rFonts w:ascii="Times New Roman" w:eastAsia="Times New Roman" w:hAnsi="Times New Roman" w:cs="Times New Roman"/>
          <w:sz w:val="22"/>
          <w:szCs w:val="22"/>
        </w:rPr>
        <w:t>the delivery and installation of the following supplies: Laboratory equipment for the purposes and functioning of the scientific laboratories of the BLUE GROWTH Research centre at “Prof. D-r Asen Zlatarov</w:t>
      </w:r>
      <w:r w:rsidR="0071498D">
        <w:rPr>
          <w:rFonts w:ascii="Times New Roman" w:eastAsia="Times New Roman" w:hAnsi="Times New Roman" w:cs="Times New Roman"/>
          <w:sz w:val="22"/>
          <w:szCs w:val="22"/>
        </w:rPr>
        <w:t> »</w:t>
      </w:r>
      <w:r>
        <w:rPr>
          <w:rFonts w:ascii="Times New Roman" w:eastAsia="Times New Roman" w:hAnsi="Times New Roman" w:cs="Times New Roman"/>
          <w:sz w:val="22"/>
          <w:szCs w:val="22"/>
        </w:rPr>
        <w:t xml:space="preserve"> University of Burgas</w:t>
      </w:r>
    </w:p>
    <w:p w14:paraId="4BB37C2C" w14:textId="77777777" w:rsidR="005918AE" w:rsidRDefault="005918AE">
      <w:pPr>
        <w:spacing w:before="0" w:after="0"/>
        <w:ind w:left="0" w:hanging="2"/>
        <w:jc w:val="both"/>
        <w:rPr>
          <w:rFonts w:ascii="Times New Roman" w:eastAsia="Times New Roman" w:hAnsi="Times New Roman" w:cs="Times New Roman"/>
          <w:sz w:val="22"/>
          <w:szCs w:val="22"/>
        </w:rPr>
      </w:pPr>
    </w:p>
    <w:p w14:paraId="3FAF732F" w14:textId="5A370813" w:rsidR="005918AE" w:rsidRDefault="008504CB">
      <w:pPr>
        <w:tabs>
          <w:tab w:val="left" w:pos="709"/>
          <w:tab w:val="left" w:pos="993"/>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Supply of Multiparametric probe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Water Pol</w:t>
      </w:r>
      <w:r w:rsidR="0071498D">
        <w:rPr>
          <w:rFonts w:ascii="Times New Roman" w:eastAsia="Times New Roman" w:hAnsi="Times New Roman" w:cs="Times New Roman"/>
          <w:sz w:val="22"/>
          <w:szCs w:val="22"/>
        </w:rPr>
        <w:t>l</w:t>
      </w:r>
      <w:r>
        <w:rPr>
          <w:rFonts w:ascii="Times New Roman" w:eastAsia="Times New Roman" w:hAnsi="Times New Roman" w:cs="Times New Roman"/>
          <w:sz w:val="22"/>
          <w:szCs w:val="22"/>
        </w:rPr>
        <w:t>ution Monitoring Lab</w:t>
      </w:r>
    </w:p>
    <w:tbl>
      <w:tblPr>
        <w:tblStyle w:val="a"/>
        <w:tblW w:w="6344" w:type="dxa"/>
        <w:jc w:val="center"/>
        <w:tblLayout w:type="fixed"/>
        <w:tblLook w:val="0000" w:firstRow="0" w:lastRow="0" w:firstColumn="0" w:lastColumn="0" w:noHBand="0" w:noVBand="0"/>
      </w:tblPr>
      <w:tblGrid>
        <w:gridCol w:w="1023"/>
        <w:gridCol w:w="3815"/>
        <w:gridCol w:w="1506"/>
      </w:tblGrid>
      <w:tr w:rsidR="005918AE" w14:paraId="78E2768F" w14:textId="77777777">
        <w:trPr>
          <w:trHeight w:val="877"/>
          <w:jc w:val="center"/>
        </w:trPr>
        <w:tc>
          <w:tcPr>
            <w:tcW w:w="1023" w:type="dxa"/>
            <w:shd w:val="clear" w:color="auto" w:fill="F2F2F2"/>
          </w:tcPr>
          <w:p w14:paraId="48E2ABB0"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3AE16211"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737C0BED"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46F930ED" w14:textId="77777777">
        <w:trPr>
          <w:trHeight w:val="257"/>
          <w:jc w:val="center"/>
        </w:trPr>
        <w:tc>
          <w:tcPr>
            <w:tcW w:w="1023" w:type="dxa"/>
          </w:tcPr>
          <w:p w14:paraId="22EB48B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37510BD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Multi parametric probe</w:t>
            </w:r>
          </w:p>
        </w:tc>
        <w:tc>
          <w:tcPr>
            <w:tcW w:w="1506" w:type="dxa"/>
            <w:vAlign w:val="center"/>
          </w:tcPr>
          <w:p w14:paraId="3B40FB6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60D6C8C4" w14:textId="77777777" w:rsidR="005918AE" w:rsidRDefault="005918AE">
      <w:pPr>
        <w:spacing w:before="0" w:after="0"/>
        <w:ind w:left="0" w:hanging="2"/>
        <w:jc w:val="both"/>
        <w:rPr>
          <w:rFonts w:ascii="Times New Roman" w:eastAsia="Times New Roman" w:hAnsi="Times New Roman" w:cs="Times New Roman"/>
          <w:sz w:val="22"/>
          <w:szCs w:val="22"/>
        </w:rPr>
      </w:pPr>
    </w:p>
    <w:p w14:paraId="2AE0EAC9" w14:textId="0C3DA72F" w:rsidR="005918AE" w:rsidRDefault="008504CB">
      <w:pPr>
        <w:spacing w:before="0" w:after="0"/>
        <w:ind w:left="0" w:hanging="2"/>
        <w:jc w:val="both"/>
        <w:rPr>
          <w:rFonts w:ascii="Times New Roman" w:eastAsia="Times New Roman" w:hAnsi="Times New Roman" w:cs="Times New Roman"/>
          <w:sz w:val="22"/>
          <w:szCs w:val="22"/>
        </w:rPr>
      </w:pPr>
      <w:bookmarkStart w:id="4" w:name="_heading=h.2et92p0" w:colFirst="0" w:colLast="0"/>
      <w:bookmarkEnd w:id="4"/>
      <w:r>
        <w:rPr>
          <w:rFonts w:ascii="Times New Roman" w:eastAsia="Times New Roman" w:hAnsi="Times New Roman" w:cs="Times New Roman"/>
          <w:sz w:val="22"/>
          <w:szCs w:val="22"/>
        </w:rPr>
        <w:t xml:space="preserve"> Lot 2 Supply of sampling and field measurement equipment for Water Polution Monitoring and Aquatic Eco system Lab</w:t>
      </w:r>
      <w:r w:rsidR="0071498D">
        <w:rPr>
          <w:rFonts w:ascii="Times New Roman" w:eastAsia="Times New Roman" w:hAnsi="Times New Roman" w:cs="Times New Roman"/>
          <w:sz w:val="22"/>
          <w:szCs w:val="22"/>
        </w:rPr>
        <w:t>s</w:t>
      </w:r>
    </w:p>
    <w:p w14:paraId="119BE3DC"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0"/>
        <w:tblW w:w="6344" w:type="dxa"/>
        <w:jc w:val="center"/>
        <w:tblLayout w:type="fixed"/>
        <w:tblLook w:val="0000" w:firstRow="0" w:lastRow="0" w:firstColumn="0" w:lastColumn="0" w:noHBand="0" w:noVBand="0"/>
      </w:tblPr>
      <w:tblGrid>
        <w:gridCol w:w="1023"/>
        <w:gridCol w:w="3815"/>
        <w:gridCol w:w="1506"/>
      </w:tblGrid>
      <w:tr w:rsidR="005918AE" w14:paraId="39385A07" w14:textId="77777777">
        <w:trPr>
          <w:trHeight w:val="877"/>
          <w:jc w:val="center"/>
        </w:trPr>
        <w:tc>
          <w:tcPr>
            <w:tcW w:w="1023" w:type="dxa"/>
            <w:shd w:val="clear" w:color="auto" w:fill="F2F2F2"/>
          </w:tcPr>
          <w:p w14:paraId="2481234C"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0933F32E"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2904D3A6"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3FE194DA" w14:textId="77777777">
        <w:trPr>
          <w:trHeight w:val="257"/>
          <w:jc w:val="center"/>
        </w:trPr>
        <w:tc>
          <w:tcPr>
            <w:tcW w:w="1023" w:type="dxa"/>
          </w:tcPr>
          <w:p w14:paraId="41E28666"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2A4AD85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Telescopic stick for sampling devices for surface waters</w:t>
            </w:r>
          </w:p>
        </w:tc>
        <w:tc>
          <w:tcPr>
            <w:tcW w:w="1506" w:type="dxa"/>
            <w:vAlign w:val="center"/>
          </w:tcPr>
          <w:p w14:paraId="1459461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32DACDE7" w14:textId="77777777">
        <w:trPr>
          <w:trHeight w:val="244"/>
          <w:jc w:val="center"/>
        </w:trPr>
        <w:tc>
          <w:tcPr>
            <w:tcW w:w="1023" w:type="dxa"/>
          </w:tcPr>
          <w:p w14:paraId="4C183C2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58C8462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Multifunctional pinch for telescopic stick</w:t>
            </w:r>
          </w:p>
        </w:tc>
        <w:tc>
          <w:tcPr>
            <w:tcW w:w="1506" w:type="dxa"/>
            <w:vAlign w:val="center"/>
          </w:tcPr>
          <w:p w14:paraId="163964C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1D6FC373" w14:textId="77777777">
        <w:trPr>
          <w:trHeight w:val="257"/>
          <w:jc w:val="center"/>
        </w:trPr>
        <w:tc>
          <w:tcPr>
            <w:tcW w:w="1023" w:type="dxa"/>
          </w:tcPr>
          <w:p w14:paraId="0F19DA9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6DE33A6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Multifunctional pinch for glass for telescopic stick</w:t>
            </w:r>
          </w:p>
        </w:tc>
        <w:tc>
          <w:tcPr>
            <w:tcW w:w="1506" w:type="dxa"/>
          </w:tcPr>
          <w:p w14:paraId="41455F8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47DDB174" w14:textId="77777777">
        <w:trPr>
          <w:trHeight w:val="257"/>
          <w:jc w:val="center"/>
        </w:trPr>
        <w:tc>
          <w:tcPr>
            <w:tcW w:w="1023" w:type="dxa"/>
          </w:tcPr>
          <w:p w14:paraId="63A9C5BA"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03135E3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Sampling device Ruttner type</w:t>
            </w:r>
          </w:p>
        </w:tc>
        <w:tc>
          <w:tcPr>
            <w:tcW w:w="1506" w:type="dxa"/>
          </w:tcPr>
          <w:p w14:paraId="19114DA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5BA1F386" w14:textId="77777777">
        <w:trPr>
          <w:trHeight w:val="244"/>
          <w:jc w:val="center"/>
        </w:trPr>
        <w:tc>
          <w:tcPr>
            <w:tcW w:w="1023" w:type="dxa"/>
          </w:tcPr>
          <w:p w14:paraId="1EED8430"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18F4DF2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Rope for sampling device Ruttner type, 25m</w:t>
            </w:r>
          </w:p>
        </w:tc>
        <w:tc>
          <w:tcPr>
            <w:tcW w:w="1506" w:type="dxa"/>
          </w:tcPr>
          <w:p w14:paraId="0520EFF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1D4C63A9" w14:textId="77777777">
        <w:trPr>
          <w:trHeight w:val="244"/>
          <w:jc w:val="center"/>
        </w:trPr>
        <w:tc>
          <w:tcPr>
            <w:tcW w:w="1023" w:type="dxa"/>
          </w:tcPr>
          <w:p w14:paraId="6F0848FF"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6</w:t>
            </w:r>
          </w:p>
        </w:tc>
        <w:tc>
          <w:tcPr>
            <w:tcW w:w="3815" w:type="dxa"/>
          </w:tcPr>
          <w:p w14:paraId="2BE55F5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dredger “Van Veen” type</w:t>
            </w:r>
          </w:p>
        </w:tc>
        <w:tc>
          <w:tcPr>
            <w:tcW w:w="1506" w:type="dxa"/>
          </w:tcPr>
          <w:p w14:paraId="19884F0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5A58C222" w14:textId="77777777">
        <w:trPr>
          <w:trHeight w:val="244"/>
          <w:jc w:val="center"/>
        </w:trPr>
        <w:tc>
          <w:tcPr>
            <w:tcW w:w="1023" w:type="dxa"/>
          </w:tcPr>
          <w:p w14:paraId="16981301"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p>
        </w:tc>
        <w:tc>
          <w:tcPr>
            <w:tcW w:w="3815" w:type="dxa"/>
          </w:tcPr>
          <w:p w14:paraId="631DC13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Rope for dredger “Van Veen” и “Ekman” type, 25m</w:t>
            </w:r>
          </w:p>
        </w:tc>
        <w:tc>
          <w:tcPr>
            <w:tcW w:w="1506" w:type="dxa"/>
          </w:tcPr>
          <w:p w14:paraId="078A292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71844E03" w14:textId="77777777">
        <w:trPr>
          <w:trHeight w:val="244"/>
          <w:jc w:val="center"/>
        </w:trPr>
        <w:tc>
          <w:tcPr>
            <w:tcW w:w="1023" w:type="dxa"/>
          </w:tcPr>
          <w:p w14:paraId="1A1C88D1"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8.</w:t>
            </w:r>
          </w:p>
        </w:tc>
        <w:tc>
          <w:tcPr>
            <w:tcW w:w="3815" w:type="dxa"/>
          </w:tcPr>
          <w:p w14:paraId="53B9741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Cooler for keeping samples</w:t>
            </w:r>
          </w:p>
        </w:tc>
        <w:tc>
          <w:tcPr>
            <w:tcW w:w="1506" w:type="dxa"/>
          </w:tcPr>
          <w:p w14:paraId="0CA6AE9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 pcs.</w:t>
            </w:r>
          </w:p>
        </w:tc>
      </w:tr>
      <w:tr w:rsidR="005918AE" w14:paraId="24D57EE4" w14:textId="77777777">
        <w:trPr>
          <w:trHeight w:val="244"/>
          <w:jc w:val="center"/>
        </w:trPr>
        <w:tc>
          <w:tcPr>
            <w:tcW w:w="1023" w:type="dxa"/>
          </w:tcPr>
          <w:p w14:paraId="7BB1B8A8"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3815" w:type="dxa"/>
          </w:tcPr>
          <w:p w14:paraId="6C05F0B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system for electrochemical measurement and ion analysis</w:t>
            </w:r>
          </w:p>
        </w:tc>
        <w:tc>
          <w:tcPr>
            <w:tcW w:w="1506" w:type="dxa"/>
          </w:tcPr>
          <w:p w14:paraId="3AF003F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37A7BB36" w14:textId="77777777">
        <w:trPr>
          <w:trHeight w:val="244"/>
          <w:jc w:val="center"/>
        </w:trPr>
        <w:tc>
          <w:tcPr>
            <w:tcW w:w="1023" w:type="dxa"/>
          </w:tcPr>
          <w:p w14:paraId="2D71A7FA"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10.</w:t>
            </w:r>
          </w:p>
        </w:tc>
        <w:tc>
          <w:tcPr>
            <w:tcW w:w="3815" w:type="dxa"/>
          </w:tcPr>
          <w:p w14:paraId="7C45EFA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Soundmeter</w:t>
            </w:r>
          </w:p>
        </w:tc>
        <w:tc>
          <w:tcPr>
            <w:tcW w:w="1506" w:type="dxa"/>
          </w:tcPr>
          <w:p w14:paraId="220868C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363881C6" w14:textId="77777777">
        <w:trPr>
          <w:trHeight w:val="244"/>
          <w:jc w:val="center"/>
        </w:trPr>
        <w:tc>
          <w:tcPr>
            <w:tcW w:w="1023" w:type="dxa"/>
          </w:tcPr>
          <w:p w14:paraId="38C5CD33"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11.</w:t>
            </w:r>
          </w:p>
        </w:tc>
        <w:tc>
          <w:tcPr>
            <w:tcW w:w="3815" w:type="dxa"/>
          </w:tcPr>
          <w:p w14:paraId="175DFB6A"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Luxmeter</w:t>
            </w:r>
          </w:p>
        </w:tc>
        <w:tc>
          <w:tcPr>
            <w:tcW w:w="1506" w:type="dxa"/>
          </w:tcPr>
          <w:p w14:paraId="0B82DBD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5649F3F7" w14:textId="77777777">
        <w:trPr>
          <w:trHeight w:val="244"/>
          <w:jc w:val="center"/>
        </w:trPr>
        <w:tc>
          <w:tcPr>
            <w:tcW w:w="1023" w:type="dxa"/>
          </w:tcPr>
          <w:p w14:paraId="30D76B63"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3815" w:type="dxa"/>
          </w:tcPr>
          <w:p w14:paraId="533F825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Geo sampler</w:t>
            </w:r>
          </w:p>
        </w:tc>
        <w:tc>
          <w:tcPr>
            <w:tcW w:w="1506" w:type="dxa"/>
          </w:tcPr>
          <w:p w14:paraId="46791BFA"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p w14:paraId="2F3318C4" w14:textId="77777777" w:rsidR="005918AE" w:rsidRDefault="005918AE">
            <w:pPr>
              <w:tabs>
                <w:tab w:val="left" w:pos="709"/>
                <w:tab w:val="left" w:pos="993"/>
              </w:tabs>
              <w:spacing w:before="0" w:after="0"/>
              <w:ind w:left="0" w:hanging="2"/>
              <w:jc w:val="both"/>
              <w:rPr>
                <w:rFonts w:ascii="Times New Roman" w:eastAsia="Times New Roman" w:hAnsi="Times New Roman" w:cs="Times New Roman"/>
                <w:sz w:val="22"/>
                <w:szCs w:val="22"/>
              </w:rPr>
            </w:pPr>
          </w:p>
        </w:tc>
      </w:tr>
    </w:tbl>
    <w:p w14:paraId="6E211F9F" w14:textId="77777777" w:rsidR="005918AE" w:rsidRDefault="005918AE">
      <w:pPr>
        <w:spacing w:before="0" w:after="0"/>
        <w:ind w:left="0" w:hanging="2"/>
        <w:jc w:val="both"/>
        <w:rPr>
          <w:rFonts w:ascii="Times New Roman" w:eastAsia="Times New Roman" w:hAnsi="Times New Roman" w:cs="Times New Roman"/>
          <w:sz w:val="22"/>
          <w:szCs w:val="22"/>
        </w:rPr>
      </w:pPr>
    </w:p>
    <w:p w14:paraId="07C70F40" w14:textId="7A8905F4"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Lot 3 Supply of </w:t>
      </w:r>
      <w:r w:rsidR="0071498D">
        <w:rPr>
          <w:rFonts w:ascii="Times New Roman" w:eastAsia="Times New Roman" w:hAnsi="Times New Roman" w:cs="Times New Roman"/>
          <w:sz w:val="22"/>
          <w:szCs w:val="22"/>
        </w:rPr>
        <w:t>l</w:t>
      </w:r>
      <w:r>
        <w:rPr>
          <w:rFonts w:ascii="Times New Roman" w:eastAsia="Times New Roman" w:hAnsi="Times New Roman" w:cs="Times New Roman"/>
          <w:sz w:val="22"/>
          <w:szCs w:val="22"/>
        </w:rPr>
        <w:t>aboratory equipment for polymer analysis for the purposes of Water Po</w:t>
      </w:r>
      <w:r w:rsidR="0071498D">
        <w:rPr>
          <w:rFonts w:ascii="Times New Roman" w:eastAsia="Times New Roman" w:hAnsi="Times New Roman" w:cs="Times New Roman"/>
          <w:sz w:val="22"/>
          <w:szCs w:val="22"/>
        </w:rPr>
        <w:t>l</w:t>
      </w:r>
      <w:r>
        <w:rPr>
          <w:rFonts w:ascii="Times New Roman" w:eastAsia="Times New Roman" w:hAnsi="Times New Roman" w:cs="Times New Roman"/>
          <w:sz w:val="22"/>
          <w:szCs w:val="22"/>
        </w:rPr>
        <w:t>lution Monitoring and Aquatic Ecosystem</w:t>
      </w:r>
      <w:r w:rsidR="0071498D">
        <w:rPr>
          <w:rFonts w:ascii="Times New Roman" w:eastAsia="Times New Roman" w:hAnsi="Times New Roman" w:cs="Times New Roman"/>
          <w:sz w:val="22"/>
          <w:szCs w:val="22"/>
        </w:rPr>
        <w:t xml:space="preserve"> Modelling</w:t>
      </w:r>
      <w:r>
        <w:rPr>
          <w:rFonts w:ascii="Times New Roman" w:eastAsia="Times New Roman" w:hAnsi="Times New Roman" w:cs="Times New Roman"/>
          <w:sz w:val="22"/>
          <w:szCs w:val="22"/>
        </w:rPr>
        <w:t xml:space="preserve"> Lab</w:t>
      </w:r>
      <w:r w:rsidR="0071498D">
        <w:rPr>
          <w:rFonts w:ascii="Times New Roman" w:eastAsia="Times New Roman" w:hAnsi="Times New Roman" w:cs="Times New Roman"/>
          <w:sz w:val="22"/>
          <w:szCs w:val="22"/>
        </w:rPr>
        <w:t>s</w:t>
      </w:r>
    </w:p>
    <w:p w14:paraId="7AA0C0B8"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1"/>
        <w:tblW w:w="6344" w:type="dxa"/>
        <w:jc w:val="center"/>
        <w:tblLayout w:type="fixed"/>
        <w:tblLook w:val="0000" w:firstRow="0" w:lastRow="0" w:firstColumn="0" w:lastColumn="0" w:noHBand="0" w:noVBand="0"/>
      </w:tblPr>
      <w:tblGrid>
        <w:gridCol w:w="1023"/>
        <w:gridCol w:w="3815"/>
        <w:gridCol w:w="1506"/>
      </w:tblGrid>
      <w:tr w:rsidR="005918AE" w14:paraId="53D38417" w14:textId="77777777">
        <w:trPr>
          <w:trHeight w:val="877"/>
          <w:jc w:val="center"/>
        </w:trPr>
        <w:tc>
          <w:tcPr>
            <w:tcW w:w="1023" w:type="dxa"/>
            <w:shd w:val="clear" w:color="auto" w:fill="F2F2F2"/>
          </w:tcPr>
          <w:p w14:paraId="040E5513"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34E261B1"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6BCA8815"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70DABED3" w14:textId="77777777">
        <w:trPr>
          <w:trHeight w:val="257"/>
          <w:jc w:val="center"/>
        </w:trPr>
        <w:tc>
          <w:tcPr>
            <w:tcW w:w="1023" w:type="dxa"/>
          </w:tcPr>
          <w:p w14:paraId="747F46EF"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51D1443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System for analysis of polymers and plastic micro particles</w:t>
            </w:r>
          </w:p>
        </w:tc>
        <w:tc>
          <w:tcPr>
            <w:tcW w:w="1506" w:type="dxa"/>
            <w:vAlign w:val="center"/>
          </w:tcPr>
          <w:p w14:paraId="6432184A"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19F9147B" w14:textId="77777777">
        <w:trPr>
          <w:trHeight w:val="244"/>
          <w:jc w:val="center"/>
        </w:trPr>
        <w:tc>
          <w:tcPr>
            <w:tcW w:w="1023" w:type="dxa"/>
          </w:tcPr>
          <w:p w14:paraId="12D78CBB"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723EA0F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UPS</w:t>
            </w:r>
          </w:p>
        </w:tc>
        <w:tc>
          <w:tcPr>
            <w:tcW w:w="1506" w:type="dxa"/>
            <w:vAlign w:val="center"/>
          </w:tcPr>
          <w:p w14:paraId="67B15AE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035D874A" w14:textId="77777777">
        <w:trPr>
          <w:trHeight w:val="257"/>
          <w:jc w:val="center"/>
        </w:trPr>
        <w:tc>
          <w:tcPr>
            <w:tcW w:w="1023" w:type="dxa"/>
          </w:tcPr>
          <w:p w14:paraId="03936DE2"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49EB173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FTIR spectrometer for polymer analysis</w:t>
            </w:r>
          </w:p>
        </w:tc>
        <w:tc>
          <w:tcPr>
            <w:tcW w:w="1506" w:type="dxa"/>
          </w:tcPr>
          <w:p w14:paraId="5AE7A2C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361BDC2E" w14:textId="77777777" w:rsidR="005918AE" w:rsidRDefault="005918AE">
      <w:pPr>
        <w:spacing w:before="0" w:after="0"/>
        <w:ind w:left="0" w:hanging="2"/>
        <w:jc w:val="both"/>
        <w:rPr>
          <w:rFonts w:ascii="Times New Roman" w:eastAsia="Times New Roman" w:hAnsi="Times New Roman" w:cs="Times New Roman"/>
          <w:sz w:val="22"/>
          <w:szCs w:val="22"/>
        </w:rPr>
      </w:pPr>
    </w:p>
    <w:p w14:paraId="65DA9053" w14:textId="1C4E82EF"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4 Supply of a ball mill and a crusher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Aquaculture and Biotechnology lab </w:t>
      </w:r>
    </w:p>
    <w:p w14:paraId="0CDFA229"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2"/>
        <w:tblW w:w="6344" w:type="dxa"/>
        <w:jc w:val="center"/>
        <w:tblLayout w:type="fixed"/>
        <w:tblLook w:val="0000" w:firstRow="0" w:lastRow="0" w:firstColumn="0" w:lastColumn="0" w:noHBand="0" w:noVBand="0"/>
      </w:tblPr>
      <w:tblGrid>
        <w:gridCol w:w="1023"/>
        <w:gridCol w:w="3815"/>
        <w:gridCol w:w="1506"/>
      </w:tblGrid>
      <w:tr w:rsidR="005918AE" w14:paraId="7B17AC06" w14:textId="77777777">
        <w:trPr>
          <w:trHeight w:val="877"/>
          <w:jc w:val="center"/>
        </w:trPr>
        <w:tc>
          <w:tcPr>
            <w:tcW w:w="1023" w:type="dxa"/>
            <w:shd w:val="clear" w:color="auto" w:fill="F2F2F2"/>
          </w:tcPr>
          <w:p w14:paraId="7A5CC8D8"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54921163"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02B1D3D1"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2AB24787" w14:textId="77777777">
        <w:trPr>
          <w:trHeight w:val="257"/>
          <w:jc w:val="center"/>
        </w:trPr>
        <w:tc>
          <w:tcPr>
            <w:tcW w:w="1023" w:type="dxa"/>
          </w:tcPr>
          <w:p w14:paraId="562F5DBD"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722BFA4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Ball mill </w:t>
            </w:r>
          </w:p>
        </w:tc>
        <w:tc>
          <w:tcPr>
            <w:tcW w:w="1506" w:type="dxa"/>
            <w:vAlign w:val="center"/>
          </w:tcPr>
          <w:p w14:paraId="1C2DF8E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6787BA5E" w14:textId="77777777">
        <w:trPr>
          <w:trHeight w:val="244"/>
          <w:jc w:val="center"/>
        </w:trPr>
        <w:tc>
          <w:tcPr>
            <w:tcW w:w="1023" w:type="dxa"/>
          </w:tcPr>
          <w:p w14:paraId="146ED3D2"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7AC0E79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Crusher</w:t>
            </w:r>
          </w:p>
        </w:tc>
        <w:tc>
          <w:tcPr>
            <w:tcW w:w="1506" w:type="dxa"/>
            <w:vAlign w:val="center"/>
          </w:tcPr>
          <w:p w14:paraId="558196EC"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2C438854" w14:textId="77777777">
        <w:trPr>
          <w:trHeight w:val="257"/>
          <w:jc w:val="center"/>
        </w:trPr>
        <w:tc>
          <w:tcPr>
            <w:tcW w:w="1023" w:type="dxa"/>
          </w:tcPr>
          <w:p w14:paraId="5D0591CC"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39B71D4C"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Press</w:t>
            </w:r>
          </w:p>
        </w:tc>
        <w:tc>
          <w:tcPr>
            <w:tcW w:w="1506" w:type="dxa"/>
          </w:tcPr>
          <w:p w14:paraId="40EBAC7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35D1BC1C" w14:textId="77777777" w:rsidR="005918AE" w:rsidRDefault="005918AE">
      <w:pPr>
        <w:spacing w:before="0" w:after="0"/>
        <w:ind w:left="0" w:hanging="2"/>
        <w:jc w:val="both"/>
        <w:rPr>
          <w:rFonts w:ascii="Times New Roman" w:eastAsia="Times New Roman" w:hAnsi="Times New Roman" w:cs="Times New Roman"/>
          <w:sz w:val="22"/>
          <w:szCs w:val="22"/>
        </w:rPr>
      </w:pPr>
    </w:p>
    <w:p w14:paraId="4A2A3D7C" w14:textId="5463F7BB"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5 Supply of an automatic sampling device for fine particles with different fractions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1498D">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5185AA8B"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3"/>
        <w:tblW w:w="6344" w:type="dxa"/>
        <w:jc w:val="center"/>
        <w:tblLayout w:type="fixed"/>
        <w:tblLook w:val="0000" w:firstRow="0" w:lastRow="0" w:firstColumn="0" w:lastColumn="0" w:noHBand="0" w:noVBand="0"/>
      </w:tblPr>
      <w:tblGrid>
        <w:gridCol w:w="1023"/>
        <w:gridCol w:w="3815"/>
        <w:gridCol w:w="1506"/>
      </w:tblGrid>
      <w:tr w:rsidR="005918AE" w14:paraId="16D31EFB" w14:textId="77777777">
        <w:trPr>
          <w:trHeight w:val="877"/>
          <w:jc w:val="center"/>
        </w:trPr>
        <w:tc>
          <w:tcPr>
            <w:tcW w:w="1023" w:type="dxa"/>
            <w:shd w:val="clear" w:color="auto" w:fill="F2F2F2"/>
          </w:tcPr>
          <w:p w14:paraId="0FEC70F0"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7CB563E0"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55C58D86"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6F1E2D36" w14:textId="77777777">
        <w:trPr>
          <w:trHeight w:val="257"/>
          <w:jc w:val="center"/>
        </w:trPr>
        <w:tc>
          <w:tcPr>
            <w:tcW w:w="1023" w:type="dxa"/>
          </w:tcPr>
          <w:p w14:paraId="3C5839BB"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1FAB9DC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Automatic sampling device for fine particles with different fractions</w:t>
            </w:r>
          </w:p>
        </w:tc>
        <w:tc>
          <w:tcPr>
            <w:tcW w:w="1506" w:type="dxa"/>
            <w:vAlign w:val="center"/>
          </w:tcPr>
          <w:p w14:paraId="15D0321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3B96BCC" w14:textId="77777777" w:rsidR="005918AE" w:rsidRDefault="005918AE">
      <w:pPr>
        <w:spacing w:before="0" w:after="0"/>
        <w:ind w:left="0" w:hanging="2"/>
        <w:jc w:val="both"/>
        <w:rPr>
          <w:rFonts w:ascii="Times New Roman" w:eastAsia="Times New Roman" w:hAnsi="Times New Roman" w:cs="Times New Roman"/>
          <w:sz w:val="22"/>
          <w:szCs w:val="22"/>
        </w:rPr>
      </w:pPr>
    </w:p>
    <w:p w14:paraId="2B6962A1" w14:textId="599DC7AC"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6 Supply of equipment for solution analys</w:t>
      </w:r>
      <w:r w:rsidR="0071498D">
        <w:rPr>
          <w:rFonts w:ascii="Times New Roman" w:eastAsia="Times New Roman" w:hAnsi="Times New Roman" w:cs="Times New Roman"/>
          <w:sz w:val="22"/>
          <w:szCs w:val="22"/>
        </w:rPr>
        <w:t>i</w:t>
      </w:r>
      <w:r>
        <w:rPr>
          <w:rFonts w:ascii="Times New Roman" w:eastAsia="Times New Roman" w:hAnsi="Times New Roman" w:cs="Times New Roman"/>
          <w:sz w:val="22"/>
          <w:szCs w:val="22"/>
        </w:rPr>
        <w:t xml:space="preserve">s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1498D">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 xml:space="preserve">and Water </w:t>
      </w:r>
      <w:r w:rsidR="0071498D">
        <w:rPr>
          <w:rFonts w:ascii="Times New Roman" w:eastAsia="Times New Roman" w:hAnsi="Times New Roman" w:cs="Times New Roman"/>
          <w:sz w:val="22"/>
          <w:szCs w:val="22"/>
        </w:rPr>
        <w:t>P</w:t>
      </w:r>
      <w:r>
        <w:rPr>
          <w:rFonts w:ascii="Times New Roman" w:eastAsia="Times New Roman" w:hAnsi="Times New Roman" w:cs="Times New Roman"/>
          <w:sz w:val="22"/>
          <w:szCs w:val="22"/>
        </w:rPr>
        <w:t xml:space="preserve">ollution </w:t>
      </w:r>
      <w:r w:rsidR="0071498D">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Lab</w:t>
      </w:r>
      <w:r w:rsidR="0071498D">
        <w:rPr>
          <w:rFonts w:ascii="Times New Roman" w:eastAsia="Times New Roman" w:hAnsi="Times New Roman" w:cs="Times New Roman"/>
          <w:sz w:val="22"/>
          <w:szCs w:val="22"/>
        </w:rPr>
        <w:t>s</w:t>
      </w:r>
    </w:p>
    <w:p w14:paraId="04F97529"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4"/>
        <w:tblW w:w="6344" w:type="dxa"/>
        <w:jc w:val="center"/>
        <w:tblLayout w:type="fixed"/>
        <w:tblLook w:val="0000" w:firstRow="0" w:lastRow="0" w:firstColumn="0" w:lastColumn="0" w:noHBand="0" w:noVBand="0"/>
      </w:tblPr>
      <w:tblGrid>
        <w:gridCol w:w="1023"/>
        <w:gridCol w:w="3815"/>
        <w:gridCol w:w="1506"/>
      </w:tblGrid>
      <w:tr w:rsidR="005918AE" w14:paraId="69E919A4" w14:textId="77777777">
        <w:trPr>
          <w:trHeight w:val="877"/>
          <w:jc w:val="center"/>
        </w:trPr>
        <w:tc>
          <w:tcPr>
            <w:tcW w:w="1023" w:type="dxa"/>
            <w:shd w:val="clear" w:color="auto" w:fill="F2F2F2"/>
          </w:tcPr>
          <w:p w14:paraId="711061FC"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1C8BF450"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40286CF7"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12CCC457" w14:textId="77777777">
        <w:trPr>
          <w:trHeight w:val="257"/>
          <w:jc w:val="center"/>
        </w:trPr>
        <w:tc>
          <w:tcPr>
            <w:tcW w:w="1023" w:type="dxa"/>
          </w:tcPr>
          <w:p w14:paraId="2E89A79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71EED46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Kjeldahl apparatus</w:t>
            </w:r>
          </w:p>
        </w:tc>
        <w:tc>
          <w:tcPr>
            <w:tcW w:w="1506" w:type="dxa"/>
            <w:vAlign w:val="center"/>
          </w:tcPr>
          <w:p w14:paraId="72571BA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6B4316B0" w14:textId="77777777">
        <w:trPr>
          <w:trHeight w:val="244"/>
          <w:jc w:val="center"/>
        </w:trPr>
        <w:tc>
          <w:tcPr>
            <w:tcW w:w="1023" w:type="dxa"/>
          </w:tcPr>
          <w:p w14:paraId="5494FC0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7295316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Thermostat for burning samples</w:t>
            </w:r>
          </w:p>
        </w:tc>
        <w:tc>
          <w:tcPr>
            <w:tcW w:w="1506" w:type="dxa"/>
            <w:vAlign w:val="center"/>
          </w:tcPr>
          <w:p w14:paraId="6095BB6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5A2BB933" w14:textId="77777777">
        <w:trPr>
          <w:trHeight w:val="257"/>
          <w:jc w:val="center"/>
        </w:trPr>
        <w:tc>
          <w:tcPr>
            <w:tcW w:w="1023" w:type="dxa"/>
          </w:tcPr>
          <w:p w14:paraId="07CA4797"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762923D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Digital titrator</w:t>
            </w:r>
          </w:p>
        </w:tc>
        <w:tc>
          <w:tcPr>
            <w:tcW w:w="1506" w:type="dxa"/>
          </w:tcPr>
          <w:p w14:paraId="235049C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0893DF8E" w14:textId="77777777">
        <w:trPr>
          <w:trHeight w:val="257"/>
          <w:jc w:val="center"/>
        </w:trPr>
        <w:tc>
          <w:tcPr>
            <w:tcW w:w="1023" w:type="dxa"/>
          </w:tcPr>
          <w:p w14:paraId="5A6CCC2B"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1AE1640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Lyophilizer</w:t>
            </w:r>
          </w:p>
        </w:tc>
        <w:tc>
          <w:tcPr>
            <w:tcW w:w="1506" w:type="dxa"/>
          </w:tcPr>
          <w:p w14:paraId="53C6B17D"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1A797BAB" w14:textId="77777777">
        <w:trPr>
          <w:trHeight w:val="244"/>
          <w:jc w:val="center"/>
        </w:trPr>
        <w:tc>
          <w:tcPr>
            <w:tcW w:w="1023" w:type="dxa"/>
          </w:tcPr>
          <w:p w14:paraId="2BF40794"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4BD38D0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Vacuum evaporator</w:t>
            </w:r>
          </w:p>
        </w:tc>
        <w:tc>
          <w:tcPr>
            <w:tcW w:w="1506" w:type="dxa"/>
          </w:tcPr>
          <w:p w14:paraId="0DD75F8E"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418A019F" w14:textId="77777777" w:rsidR="005918AE" w:rsidRDefault="005918AE">
      <w:pPr>
        <w:spacing w:before="0" w:after="0"/>
        <w:ind w:left="0" w:hanging="2"/>
        <w:jc w:val="both"/>
        <w:rPr>
          <w:rFonts w:ascii="Times New Roman" w:eastAsia="Times New Roman" w:hAnsi="Times New Roman" w:cs="Times New Roman"/>
          <w:sz w:val="22"/>
          <w:szCs w:val="22"/>
        </w:rPr>
      </w:pPr>
    </w:p>
    <w:p w14:paraId="666D1AEF" w14:textId="1E59A71B"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7 Supply of a system for microwave decomposition and extraction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1498D">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 xml:space="preserve">Lab </w:t>
      </w:r>
    </w:p>
    <w:tbl>
      <w:tblPr>
        <w:tblStyle w:val="a5"/>
        <w:tblW w:w="6344" w:type="dxa"/>
        <w:jc w:val="center"/>
        <w:tblLayout w:type="fixed"/>
        <w:tblLook w:val="0000" w:firstRow="0" w:lastRow="0" w:firstColumn="0" w:lastColumn="0" w:noHBand="0" w:noVBand="0"/>
      </w:tblPr>
      <w:tblGrid>
        <w:gridCol w:w="1023"/>
        <w:gridCol w:w="3815"/>
        <w:gridCol w:w="1506"/>
      </w:tblGrid>
      <w:tr w:rsidR="005918AE" w14:paraId="53D569DE" w14:textId="77777777">
        <w:trPr>
          <w:trHeight w:val="877"/>
          <w:jc w:val="center"/>
        </w:trPr>
        <w:tc>
          <w:tcPr>
            <w:tcW w:w="1023" w:type="dxa"/>
            <w:shd w:val="clear" w:color="auto" w:fill="F2F2F2"/>
          </w:tcPr>
          <w:p w14:paraId="02AF2B6E"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Item Number</w:t>
            </w:r>
          </w:p>
        </w:tc>
        <w:tc>
          <w:tcPr>
            <w:tcW w:w="3815" w:type="dxa"/>
            <w:shd w:val="clear" w:color="auto" w:fill="F2F2F2"/>
          </w:tcPr>
          <w:p w14:paraId="1521BDF5"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4A810CD0"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6118557C" w14:textId="77777777">
        <w:trPr>
          <w:trHeight w:val="257"/>
          <w:jc w:val="center"/>
        </w:trPr>
        <w:tc>
          <w:tcPr>
            <w:tcW w:w="1023" w:type="dxa"/>
          </w:tcPr>
          <w:p w14:paraId="3D4B4F7A"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0D34CF6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System for microwave decomposition and extraction</w:t>
            </w:r>
          </w:p>
        </w:tc>
        <w:tc>
          <w:tcPr>
            <w:tcW w:w="1506" w:type="dxa"/>
            <w:vAlign w:val="center"/>
          </w:tcPr>
          <w:p w14:paraId="3E05018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D944DC9" w14:textId="77777777" w:rsidR="005918AE" w:rsidRDefault="005918AE">
      <w:pPr>
        <w:spacing w:before="0" w:after="0"/>
        <w:ind w:left="0" w:hanging="2"/>
        <w:jc w:val="both"/>
        <w:rPr>
          <w:rFonts w:ascii="Times New Roman" w:eastAsia="Times New Roman" w:hAnsi="Times New Roman" w:cs="Times New Roman"/>
          <w:sz w:val="22"/>
          <w:szCs w:val="22"/>
        </w:rPr>
      </w:pPr>
    </w:p>
    <w:p w14:paraId="3D790CC2" w14:textId="1F188C86"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8 Supply of Portable NMR spectrometer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Aquaculture and Biotechnology lab </w:t>
      </w:r>
    </w:p>
    <w:p w14:paraId="67EB4850"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6"/>
        <w:tblW w:w="6344" w:type="dxa"/>
        <w:jc w:val="center"/>
        <w:tblLayout w:type="fixed"/>
        <w:tblLook w:val="0000" w:firstRow="0" w:lastRow="0" w:firstColumn="0" w:lastColumn="0" w:noHBand="0" w:noVBand="0"/>
      </w:tblPr>
      <w:tblGrid>
        <w:gridCol w:w="1023"/>
        <w:gridCol w:w="3815"/>
        <w:gridCol w:w="1506"/>
      </w:tblGrid>
      <w:tr w:rsidR="005918AE" w14:paraId="6C22EFD3" w14:textId="77777777">
        <w:trPr>
          <w:trHeight w:val="877"/>
          <w:jc w:val="center"/>
        </w:trPr>
        <w:tc>
          <w:tcPr>
            <w:tcW w:w="1023" w:type="dxa"/>
            <w:shd w:val="clear" w:color="auto" w:fill="F2F2F2"/>
          </w:tcPr>
          <w:p w14:paraId="48421D19"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2B632179"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1507ED2F"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1DBD6B26" w14:textId="77777777">
        <w:trPr>
          <w:trHeight w:val="257"/>
          <w:jc w:val="center"/>
        </w:trPr>
        <w:tc>
          <w:tcPr>
            <w:tcW w:w="1023" w:type="dxa"/>
          </w:tcPr>
          <w:p w14:paraId="135763FF"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1AA3E84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NMR spectrometer</w:t>
            </w:r>
          </w:p>
        </w:tc>
        <w:tc>
          <w:tcPr>
            <w:tcW w:w="1506" w:type="dxa"/>
            <w:vAlign w:val="center"/>
          </w:tcPr>
          <w:p w14:paraId="1D13DAC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06C45CA3" w14:textId="77777777" w:rsidR="005918AE" w:rsidRDefault="005918AE">
      <w:pPr>
        <w:spacing w:before="0" w:after="0"/>
        <w:ind w:left="0" w:hanging="2"/>
        <w:jc w:val="both"/>
        <w:rPr>
          <w:rFonts w:ascii="Times New Roman" w:eastAsia="Times New Roman" w:hAnsi="Times New Roman" w:cs="Times New Roman"/>
          <w:sz w:val="22"/>
          <w:szCs w:val="22"/>
        </w:rPr>
      </w:pPr>
    </w:p>
    <w:p w14:paraId="362285CC" w14:textId="06E81F63"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9 Supply of analytical equipment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Water Po</w:t>
      </w:r>
      <w:r w:rsidR="0071498D">
        <w:rPr>
          <w:rFonts w:ascii="Times New Roman" w:eastAsia="Times New Roman" w:hAnsi="Times New Roman" w:cs="Times New Roman"/>
          <w:sz w:val="22"/>
          <w:szCs w:val="22"/>
        </w:rPr>
        <w:t>l</w:t>
      </w:r>
      <w:r>
        <w:rPr>
          <w:rFonts w:ascii="Times New Roman" w:eastAsia="Times New Roman" w:hAnsi="Times New Roman" w:cs="Times New Roman"/>
          <w:sz w:val="22"/>
          <w:szCs w:val="22"/>
        </w:rPr>
        <w:t>lution Monitoring, Aquatic Ecosystem</w:t>
      </w:r>
      <w:r w:rsidR="0071498D">
        <w:rPr>
          <w:rFonts w:ascii="Times New Roman" w:eastAsia="Times New Roman" w:hAnsi="Times New Roman" w:cs="Times New Roman"/>
          <w:sz w:val="22"/>
          <w:szCs w:val="22"/>
        </w:rPr>
        <w:t xml:space="preserve"> Modelling</w:t>
      </w:r>
      <w:r>
        <w:rPr>
          <w:rFonts w:ascii="Times New Roman" w:eastAsia="Times New Roman" w:hAnsi="Times New Roman" w:cs="Times New Roman"/>
          <w:sz w:val="22"/>
          <w:szCs w:val="22"/>
        </w:rPr>
        <w:t xml:space="preserve"> and Aquaculture and Biotechnology </w:t>
      </w:r>
      <w:r w:rsidR="0071498D">
        <w:rPr>
          <w:rFonts w:ascii="Times New Roman" w:eastAsia="Times New Roman" w:hAnsi="Times New Roman" w:cs="Times New Roman"/>
          <w:sz w:val="22"/>
          <w:szCs w:val="22"/>
        </w:rPr>
        <w:t>L</w:t>
      </w:r>
      <w:r>
        <w:rPr>
          <w:rFonts w:ascii="Times New Roman" w:eastAsia="Times New Roman" w:hAnsi="Times New Roman" w:cs="Times New Roman"/>
          <w:sz w:val="22"/>
          <w:szCs w:val="22"/>
        </w:rPr>
        <w:t>ab</w:t>
      </w:r>
      <w:r w:rsidR="0071498D">
        <w:rPr>
          <w:rFonts w:ascii="Times New Roman" w:eastAsia="Times New Roman" w:hAnsi="Times New Roman" w:cs="Times New Roman"/>
          <w:sz w:val="22"/>
          <w:szCs w:val="22"/>
        </w:rPr>
        <w:t>s</w:t>
      </w:r>
      <w:r>
        <w:rPr>
          <w:rFonts w:ascii="Times New Roman" w:eastAsia="Times New Roman" w:hAnsi="Times New Roman" w:cs="Times New Roman"/>
          <w:sz w:val="22"/>
          <w:szCs w:val="22"/>
        </w:rPr>
        <w:t xml:space="preserve"> </w:t>
      </w:r>
    </w:p>
    <w:p w14:paraId="6573BFDE"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7"/>
        <w:tblW w:w="6344" w:type="dxa"/>
        <w:jc w:val="center"/>
        <w:tblLayout w:type="fixed"/>
        <w:tblLook w:val="0000" w:firstRow="0" w:lastRow="0" w:firstColumn="0" w:lastColumn="0" w:noHBand="0" w:noVBand="0"/>
      </w:tblPr>
      <w:tblGrid>
        <w:gridCol w:w="1023"/>
        <w:gridCol w:w="3815"/>
        <w:gridCol w:w="1506"/>
      </w:tblGrid>
      <w:tr w:rsidR="005918AE" w14:paraId="6738258C" w14:textId="77777777">
        <w:trPr>
          <w:trHeight w:val="877"/>
          <w:jc w:val="center"/>
        </w:trPr>
        <w:tc>
          <w:tcPr>
            <w:tcW w:w="1023" w:type="dxa"/>
            <w:shd w:val="clear" w:color="auto" w:fill="F2F2F2"/>
          </w:tcPr>
          <w:p w14:paraId="2494A2E8"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753A7066"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5DF6FC41"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3D875A9B" w14:textId="77777777">
        <w:trPr>
          <w:trHeight w:val="257"/>
          <w:jc w:val="center"/>
        </w:trPr>
        <w:tc>
          <w:tcPr>
            <w:tcW w:w="1023" w:type="dxa"/>
          </w:tcPr>
          <w:p w14:paraId="70056730"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1A549BE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Sieve analysis</w:t>
            </w:r>
          </w:p>
        </w:tc>
        <w:tc>
          <w:tcPr>
            <w:tcW w:w="1506" w:type="dxa"/>
            <w:vAlign w:val="center"/>
          </w:tcPr>
          <w:p w14:paraId="3AED529E"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5918AE" w14:paraId="082655A0" w14:textId="77777777">
        <w:trPr>
          <w:trHeight w:val="244"/>
          <w:jc w:val="center"/>
        </w:trPr>
        <w:tc>
          <w:tcPr>
            <w:tcW w:w="1023" w:type="dxa"/>
          </w:tcPr>
          <w:p w14:paraId="0CABB2AB"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31F2131A"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Sieves for sieve analysis</w:t>
            </w:r>
          </w:p>
        </w:tc>
        <w:tc>
          <w:tcPr>
            <w:tcW w:w="1506" w:type="dxa"/>
            <w:vAlign w:val="center"/>
          </w:tcPr>
          <w:p w14:paraId="2ED3A32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5918AE" w14:paraId="53418884" w14:textId="77777777">
        <w:trPr>
          <w:trHeight w:val="257"/>
          <w:jc w:val="center"/>
        </w:trPr>
        <w:tc>
          <w:tcPr>
            <w:tcW w:w="1023" w:type="dxa"/>
          </w:tcPr>
          <w:p w14:paraId="41AFA1C8"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09DE5A83"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Single glass system for membrane filtration of microbiological samples</w:t>
            </w:r>
          </w:p>
        </w:tc>
        <w:tc>
          <w:tcPr>
            <w:tcW w:w="1506" w:type="dxa"/>
          </w:tcPr>
          <w:p w14:paraId="324319CC"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4 pcs</w:t>
            </w:r>
          </w:p>
        </w:tc>
      </w:tr>
      <w:tr w:rsidR="005918AE" w14:paraId="7105525A" w14:textId="77777777">
        <w:trPr>
          <w:trHeight w:val="257"/>
          <w:jc w:val="center"/>
        </w:trPr>
        <w:tc>
          <w:tcPr>
            <w:tcW w:w="1023" w:type="dxa"/>
          </w:tcPr>
          <w:p w14:paraId="141F0EE4"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068AF9A1"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Membrane filtration system for microbiological sample</w:t>
            </w:r>
          </w:p>
        </w:tc>
        <w:tc>
          <w:tcPr>
            <w:tcW w:w="1506" w:type="dxa"/>
          </w:tcPr>
          <w:p w14:paraId="1C973CD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5918AE" w14:paraId="5B74D897" w14:textId="77777777">
        <w:trPr>
          <w:trHeight w:val="244"/>
          <w:jc w:val="center"/>
        </w:trPr>
        <w:tc>
          <w:tcPr>
            <w:tcW w:w="1023" w:type="dxa"/>
          </w:tcPr>
          <w:p w14:paraId="74352F84"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376CDFA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Electromagnetic stirrer</w:t>
            </w:r>
          </w:p>
        </w:tc>
        <w:tc>
          <w:tcPr>
            <w:tcW w:w="1506" w:type="dxa"/>
          </w:tcPr>
          <w:p w14:paraId="66CCD78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5918AE" w14:paraId="64903B66" w14:textId="77777777">
        <w:trPr>
          <w:trHeight w:val="244"/>
          <w:jc w:val="center"/>
        </w:trPr>
        <w:tc>
          <w:tcPr>
            <w:tcW w:w="1023" w:type="dxa"/>
          </w:tcPr>
          <w:p w14:paraId="2CA5F971"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6</w:t>
            </w:r>
          </w:p>
        </w:tc>
        <w:tc>
          <w:tcPr>
            <w:tcW w:w="3815" w:type="dxa"/>
          </w:tcPr>
          <w:p w14:paraId="765F1CB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Vacuum pump/ compressor</w:t>
            </w:r>
          </w:p>
        </w:tc>
        <w:tc>
          <w:tcPr>
            <w:tcW w:w="1506" w:type="dxa"/>
          </w:tcPr>
          <w:p w14:paraId="39DCBEC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 pcs</w:t>
            </w:r>
          </w:p>
        </w:tc>
      </w:tr>
      <w:tr w:rsidR="005918AE" w14:paraId="7E95A674" w14:textId="77777777">
        <w:trPr>
          <w:trHeight w:val="244"/>
          <w:jc w:val="center"/>
        </w:trPr>
        <w:tc>
          <w:tcPr>
            <w:tcW w:w="1023" w:type="dxa"/>
          </w:tcPr>
          <w:p w14:paraId="0C43A71A"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p>
        </w:tc>
        <w:tc>
          <w:tcPr>
            <w:tcW w:w="3815" w:type="dxa"/>
          </w:tcPr>
          <w:p w14:paraId="1A6E4B4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Moisture measuring scale</w:t>
            </w:r>
          </w:p>
        </w:tc>
        <w:tc>
          <w:tcPr>
            <w:tcW w:w="1506" w:type="dxa"/>
          </w:tcPr>
          <w:p w14:paraId="144A39BC"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2BE1CD36" w14:textId="77777777">
        <w:trPr>
          <w:trHeight w:val="244"/>
          <w:jc w:val="center"/>
        </w:trPr>
        <w:tc>
          <w:tcPr>
            <w:tcW w:w="1023" w:type="dxa"/>
          </w:tcPr>
          <w:p w14:paraId="4E1FA315"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8.</w:t>
            </w:r>
          </w:p>
        </w:tc>
        <w:tc>
          <w:tcPr>
            <w:tcW w:w="3815" w:type="dxa"/>
          </w:tcPr>
          <w:p w14:paraId="2EC028AF" w14:textId="553D8D3E"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System for purified water type </w:t>
            </w:r>
            <w:r w:rsidR="004863B1">
              <w:rPr>
                <w:rFonts w:ascii="Times New Roman" w:eastAsia="Times New Roman" w:hAnsi="Times New Roman" w:cs="Times New Roman"/>
                <w:sz w:val="22"/>
                <w:szCs w:val="22"/>
              </w:rPr>
              <w:t>2</w:t>
            </w:r>
          </w:p>
        </w:tc>
        <w:tc>
          <w:tcPr>
            <w:tcW w:w="1506" w:type="dxa"/>
          </w:tcPr>
          <w:p w14:paraId="1CE58310" w14:textId="11D21EFE" w:rsidR="005918AE" w:rsidRDefault="004863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8504CB">
              <w:rPr>
                <w:rFonts w:ascii="Times New Roman" w:eastAsia="Times New Roman" w:hAnsi="Times New Roman" w:cs="Times New Roman"/>
                <w:b/>
                <w:sz w:val="22"/>
                <w:szCs w:val="22"/>
              </w:rPr>
              <w:t xml:space="preserve"> pc</w:t>
            </w:r>
          </w:p>
        </w:tc>
      </w:tr>
      <w:tr w:rsidR="005918AE" w14:paraId="5E47BD8B" w14:textId="77777777">
        <w:trPr>
          <w:trHeight w:val="244"/>
          <w:jc w:val="center"/>
        </w:trPr>
        <w:tc>
          <w:tcPr>
            <w:tcW w:w="1023" w:type="dxa"/>
          </w:tcPr>
          <w:p w14:paraId="108A66A3"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3815" w:type="dxa"/>
          </w:tcPr>
          <w:p w14:paraId="289042C6"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Dryer</w:t>
            </w:r>
          </w:p>
        </w:tc>
        <w:tc>
          <w:tcPr>
            <w:tcW w:w="1506" w:type="dxa"/>
          </w:tcPr>
          <w:p w14:paraId="415E6B5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6F859C76" w14:textId="77777777">
        <w:trPr>
          <w:trHeight w:val="244"/>
          <w:jc w:val="center"/>
        </w:trPr>
        <w:tc>
          <w:tcPr>
            <w:tcW w:w="1023" w:type="dxa"/>
          </w:tcPr>
          <w:p w14:paraId="013F6367"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10.</w:t>
            </w:r>
          </w:p>
        </w:tc>
        <w:tc>
          <w:tcPr>
            <w:tcW w:w="3815" w:type="dxa"/>
          </w:tcPr>
          <w:p w14:paraId="77D51B1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Refrigerator</w:t>
            </w:r>
          </w:p>
        </w:tc>
        <w:tc>
          <w:tcPr>
            <w:tcW w:w="1506" w:type="dxa"/>
          </w:tcPr>
          <w:p w14:paraId="457D35CC" w14:textId="05CB9B01" w:rsidR="005918AE" w:rsidRDefault="004863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r w:rsidR="008504CB">
              <w:rPr>
                <w:rFonts w:ascii="Times New Roman" w:eastAsia="Times New Roman" w:hAnsi="Times New Roman" w:cs="Times New Roman"/>
                <w:b/>
                <w:sz w:val="22"/>
                <w:szCs w:val="22"/>
              </w:rPr>
              <w:t xml:space="preserve"> pcs</w:t>
            </w:r>
          </w:p>
        </w:tc>
      </w:tr>
      <w:tr w:rsidR="005918AE" w14:paraId="7F42E48E" w14:textId="77777777">
        <w:trPr>
          <w:trHeight w:val="244"/>
          <w:jc w:val="center"/>
        </w:trPr>
        <w:tc>
          <w:tcPr>
            <w:tcW w:w="1023" w:type="dxa"/>
          </w:tcPr>
          <w:p w14:paraId="73D05466"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11.</w:t>
            </w:r>
          </w:p>
        </w:tc>
        <w:tc>
          <w:tcPr>
            <w:tcW w:w="3815" w:type="dxa"/>
          </w:tcPr>
          <w:p w14:paraId="1A42BEE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Digital microscope</w:t>
            </w:r>
          </w:p>
        </w:tc>
        <w:tc>
          <w:tcPr>
            <w:tcW w:w="1506" w:type="dxa"/>
          </w:tcPr>
          <w:p w14:paraId="0DA1478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5918AE" w14:paraId="258542D6" w14:textId="77777777">
        <w:trPr>
          <w:trHeight w:val="244"/>
          <w:jc w:val="center"/>
        </w:trPr>
        <w:tc>
          <w:tcPr>
            <w:tcW w:w="1023" w:type="dxa"/>
          </w:tcPr>
          <w:p w14:paraId="444710D9"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3815" w:type="dxa"/>
          </w:tcPr>
          <w:p w14:paraId="755E390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Automatic micro pipettes</w:t>
            </w:r>
          </w:p>
        </w:tc>
        <w:tc>
          <w:tcPr>
            <w:tcW w:w="1506" w:type="dxa"/>
          </w:tcPr>
          <w:p w14:paraId="3ABDFC4F"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 pcs</w:t>
            </w:r>
          </w:p>
        </w:tc>
      </w:tr>
      <w:tr w:rsidR="005918AE" w14:paraId="507CEC5B" w14:textId="77777777">
        <w:trPr>
          <w:trHeight w:val="244"/>
          <w:jc w:val="center"/>
        </w:trPr>
        <w:tc>
          <w:tcPr>
            <w:tcW w:w="1023" w:type="dxa"/>
          </w:tcPr>
          <w:p w14:paraId="0461C0F2"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13</w:t>
            </w:r>
          </w:p>
        </w:tc>
        <w:tc>
          <w:tcPr>
            <w:tcW w:w="3815" w:type="dxa"/>
          </w:tcPr>
          <w:p w14:paraId="3533B60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Distiller</w:t>
            </w:r>
          </w:p>
        </w:tc>
        <w:tc>
          <w:tcPr>
            <w:tcW w:w="1506" w:type="dxa"/>
          </w:tcPr>
          <w:p w14:paraId="1BDB8B5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 pcs</w:t>
            </w:r>
          </w:p>
        </w:tc>
      </w:tr>
      <w:tr w:rsidR="005918AE" w14:paraId="325FAE3B" w14:textId="77777777">
        <w:trPr>
          <w:trHeight w:val="244"/>
          <w:jc w:val="center"/>
        </w:trPr>
        <w:tc>
          <w:tcPr>
            <w:tcW w:w="1023" w:type="dxa"/>
          </w:tcPr>
          <w:p w14:paraId="63844CE7"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14</w:t>
            </w:r>
          </w:p>
        </w:tc>
        <w:tc>
          <w:tcPr>
            <w:tcW w:w="3815" w:type="dxa"/>
          </w:tcPr>
          <w:p w14:paraId="65871EB2"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Muffle furnace</w:t>
            </w:r>
          </w:p>
        </w:tc>
        <w:tc>
          <w:tcPr>
            <w:tcW w:w="1506" w:type="dxa"/>
          </w:tcPr>
          <w:p w14:paraId="0BB1784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63B12CBD" w14:textId="77777777">
        <w:trPr>
          <w:trHeight w:val="244"/>
          <w:jc w:val="center"/>
        </w:trPr>
        <w:tc>
          <w:tcPr>
            <w:tcW w:w="1023" w:type="dxa"/>
          </w:tcPr>
          <w:p w14:paraId="1BABEBFF"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15</w:t>
            </w:r>
          </w:p>
        </w:tc>
        <w:tc>
          <w:tcPr>
            <w:tcW w:w="3815" w:type="dxa"/>
          </w:tcPr>
          <w:p w14:paraId="2D8951F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Centrifuge</w:t>
            </w:r>
          </w:p>
        </w:tc>
        <w:tc>
          <w:tcPr>
            <w:tcW w:w="1506" w:type="dxa"/>
          </w:tcPr>
          <w:p w14:paraId="0819DFF3" w14:textId="27F50B39" w:rsidR="005918AE" w:rsidRDefault="00736844">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8504CB">
              <w:rPr>
                <w:rFonts w:ascii="Times New Roman" w:eastAsia="Times New Roman" w:hAnsi="Times New Roman" w:cs="Times New Roman"/>
                <w:b/>
                <w:sz w:val="22"/>
                <w:szCs w:val="22"/>
              </w:rPr>
              <w:t xml:space="preserve"> pc</w:t>
            </w:r>
          </w:p>
        </w:tc>
      </w:tr>
      <w:tr w:rsidR="00736844" w14:paraId="51D66AC8" w14:textId="77777777">
        <w:trPr>
          <w:trHeight w:val="244"/>
          <w:jc w:val="center"/>
        </w:trPr>
        <w:tc>
          <w:tcPr>
            <w:tcW w:w="1023" w:type="dxa"/>
          </w:tcPr>
          <w:p w14:paraId="2394CEB6" w14:textId="76F14F44" w:rsidR="00736844" w:rsidRDefault="00736844">
            <w:pPr>
              <w:tabs>
                <w:tab w:val="left" w:pos="709"/>
                <w:tab w:val="left" w:pos="993"/>
              </w:tabs>
              <w:spacing w:before="0" w:after="0"/>
              <w:ind w:left="0" w:hanging="2"/>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16</w:t>
            </w:r>
          </w:p>
        </w:tc>
        <w:tc>
          <w:tcPr>
            <w:tcW w:w="3815" w:type="dxa"/>
          </w:tcPr>
          <w:p w14:paraId="1ECACFE5" w14:textId="7E0BB078" w:rsidR="00736844" w:rsidRDefault="00736844">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Centrifuge</w:t>
            </w:r>
          </w:p>
        </w:tc>
        <w:tc>
          <w:tcPr>
            <w:tcW w:w="1506" w:type="dxa"/>
          </w:tcPr>
          <w:p w14:paraId="65964B5F" w14:textId="1F29832A" w:rsidR="00736844" w:rsidRDefault="00736844">
            <w:pPr>
              <w:tabs>
                <w:tab w:val="left" w:pos="709"/>
                <w:tab w:val="left" w:pos="993"/>
              </w:tabs>
              <w:spacing w:before="0" w:after="0"/>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tc>
      </w:tr>
      <w:tr w:rsidR="005918AE" w14:paraId="7D444E4D" w14:textId="77777777">
        <w:trPr>
          <w:trHeight w:val="244"/>
          <w:jc w:val="center"/>
        </w:trPr>
        <w:tc>
          <w:tcPr>
            <w:tcW w:w="1023" w:type="dxa"/>
          </w:tcPr>
          <w:p w14:paraId="1F0E4918" w14:textId="49DEC299"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A2469A">
              <w:rPr>
                <w:rFonts w:ascii="Times New Roman" w:eastAsia="Times New Roman" w:hAnsi="Times New Roman" w:cs="Times New Roman"/>
                <w:b/>
                <w:sz w:val="22"/>
                <w:szCs w:val="22"/>
              </w:rPr>
              <w:t>7</w:t>
            </w:r>
          </w:p>
        </w:tc>
        <w:tc>
          <w:tcPr>
            <w:tcW w:w="3815" w:type="dxa"/>
          </w:tcPr>
          <w:p w14:paraId="0216EFEB"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Vacuum dryer</w:t>
            </w:r>
          </w:p>
        </w:tc>
        <w:tc>
          <w:tcPr>
            <w:tcW w:w="1506" w:type="dxa"/>
          </w:tcPr>
          <w:p w14:paraId="44FEC7D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73066D98" w14:textId="77777777">
        <w:trPr>
          <w:trHeight w:val="244"/>
          <w:jc w:val="center"/>
        </w:trPr>
        <w:tc>
          <w:tcPr>
            <w:tcW w:w="1023" w:type="dxa"/>
          </w:tcPr>
          <w:p w14:paraId="407CEBB7" w14:textId="78C3E98B"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A2469A">
              <w:rPr>
                <w:rFonts w:ascii="Times New Roman" w:eastAsia="Times New Roman" w:hAnsi="Times New Roman" w:cs="Times New Roman"/>
                <w:b/>
                <w:sz w:val="22"/>
                <w:szCs w:val="22"/>
              </w:rPr>
              <w:t>8</w:t>
            </w:r>
          </w:p>
        </w:tc>
        <w:tc>
          <w:tcPr>
            <w:tcW w:w="3815" w:type="dxa"/>
          </w:tcPr>
          <w:p w14:paraId="136B9C2E"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Professional desktop pH – meter</w:t>
            </w:r>
          </w:p>
        </w:tc>
        <w:tc>
          <w:tcPr>
            <w:tcW w:w="1506" w:type="dxa"/>
          </w:tcPr>
          <w:p w14:paraId="22535C3E"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77EC0E30" w14:textId="77777777">
        <w:trPr>
          <w:trHeight w:val="244"/>
          <w:jc w:val="center"/>
        </w:trPr>
        <w:tc>
          <w:tcPr>
            <w:tcW w:w="1023" w:type="dxa"/>
          </w:tcPr>
          <w:p w14:paraId="58A74D77" w14:textId="75DEECF4"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A2469A">
              <w:rPr>
                <w:rFonts w:ascii="Times New Roman" w:eastAsia="Times New Roman" w:hAnsi="Times New Roman" w:cs="Times New Roman"/>
                <w:b/>
                <w:sz w:val="22"/>
                <w:szCs w:val="22"/>
              </w:rPr>
              <w:t>9</w:t>
            </w:r>
            <w:r>
              <w:rPr>
                <w:rFonts w:ascii="Times New Roman" w:eastAsia="Times New Roman" w:hAnsi="Times New Roman" w:cs="Times New Roman"/>
                <w:b/>
                <w:sz w:val="22"/>
                <w:szCs w:val="22"/>
              </w:rPr>
              <w:t xml:space="preserve"> </w:t>
            </w:r>
          </w:p>
        </w:tc>
        <w:tc>
          <w:tcPr>
            <w:tcW w:w="3815" w:type="dxa"/>
          </w:tcPr>
          <w:p w14:paraId="2553A1C7"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Heating mental</w:t>
            </w:r>
          </w:p>
        </w:tc>
        <w:tc>
          <w:tcPr>
            <w:tcW w:w="1506" w:type="dxa"/>
          </w:tcPr>
          <w:p w14:paraId="14721714"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10180508" w14:textId="77777777">
        <w:trPr>
          <w:trHeight w:val="244"/>
          <w:jc w:val="center"/>
        </w:trPr>
        <w:tc>
          <w:tcPr>
            <w:tcW w:w="1023" w:type="dxa"/>
          </w:tcPr>
          <w:p w14:paraId="593CFE94" w14:textId="4C0F433E" w:rsidR="005918AE" w:rsidRDefault="008504CB">
            <w:pPr>
              <w:tabs>
                <w:tab w:val="left" w:pos="709"/>
                <w:tab w:val="left" w:pos="993"/>
              </w:tabs>
              <w:spacing w:before="0" w:after="0"/>
              <w:ind w:left="0" w:hanging="2"/>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r w:rsidR="00A2469A">
              <w:rPr>
                <w:rFonts w:ascii="Times New Roman" w:eastAsia="Times New Roman" w:hAnsi="Times New Roman" w:cs="Times New Roman"/>
                <w:b/>
                <w:sz w:val="22"/>
                <w:szCs w:val="22"/>
              </w:rPr>
              <w:t>20</w:t>
            </w:r>
          </w:p>
          <w:p w14:paraId="35E942EC" w14:textId="38154C3F" w:rsidR="004863B1" w:rsidRDefault="004863B1">
            <w:pPr>
              <w:tabs>
                <w:tab w:val="left" w:pos="709"/>
                <w:tab w:val="left" w:pos="993"/>
              </w:tab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2</w:t>
            </w:r>
            <w:r w:rsidR="00A2469A">
              <w:rPr>
                <w:rFonts w:ascii="Times New Roman" w:eastAsia="Times New Roman" w:hAnsi="Times New Roman" w:cs="Times New Roman"/>
                <w:b/>
                <w:sz w:val="22"/>
                <w:szCs w:val="22"/>
              </w:rPr>
              <w:t>1</w:t>
            </w:r>
            <w:r>
              <w:rPr>
                <w:rFonts w:ascii="Times New Roman" w:eastAsia="Times New Roman" w:hAnsi="Times New Roman" w:cs="Times New Roman"/>
                <w:b/>
                <w:sz w:val="22"/>
                <w:szCs w:val="22"/>
              </w:rPr>
              <w:t xml:space="preserve"> </w:t>
            </w:r>
          </w:p>
        </w:tc>
        <w:tc>
          <w:tcPr>
            <w:tcW w:w="3815" w:type="dxa"/>
          </w:tcPr>
          <w:p w14:paraId="7DE93D51"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Furnace</w:t>
            </w:r>
          </w:p>
          <w:p w14:paraId="50B91866" w14:textId="36AC13CF" w:rsidR="004863B1" w:rsidRDefault="004863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Analytical scale</w:t>
            </w:r>
          </w:p>
        </w:tc>
        <w:tc>
          <w:tcPr>
            <w:tcW w:w="1506" w:type="dxa"/>
          </w:tcPr>
          <w:p w14:paraId="1E5BD05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 pc</w:t>
            </w:r>
          </w:p>
          <w:p w14:paraId="67E9D187" w14:textId="5DDF6E6A" w:rsidR="004863B1" w:rsidRDefault="004863B1">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918AE" w14:paraId="60531BB4" w14:textId="77777777">
        <w:trPr>
          <w:trHeight w:val="244"/>
          <w:jc w:val="center"/>
        </w:trPr>
        <w:tc>
          <w:tcPr>
            <w:tcW w:w="1023" w:type="dxa"/>
          </w:tcPr>
          <w:p w14:paraId="0485C758" w14:textId="77777777" w:rsidR="005918AE" w:rsidRDefault="005918AE">
            <w:pPr>
              <w:tabs>
                <w:tab w:val="left" w:pos="709"/>
                <w:tab w:val="left" w:pos="993"/>
              </w:tabs>
              <w:spacing w:before="0" w:after="0"/>
              <w:ind w:left="0" w:hanging="2"/>
              <w:jc w:val="center"/>
              <w:rPr>
                <w:rFonts w:ascii="Times New Roman" w:eastAsia="Times New Roman" w:hAnsi="Times New Roman" w:cs="Times New Roman"/>
                <w:sz w:val="22"/>
                <w:szCs w:val="22"/>
              </w:rPr>
            </w:pPr>
          </w:p>
        </w:tc>
        <w:tc>
          <w:tcPr>
            <w:tcW w:w="3815" w:type="dxa"/>
          </w:tcPr>
          <w:p w14:paraId="1B3D40BB" w14:textId="77777777" w:rsidR="005918AE" w:rsidRDefault="005918AE">
            <w:pPr>
              <w:tabs>
                <w:tab w:val="left" w:pos="709"/>
                <w:tab w:val="left" w:pos="993"/>
              </w:tabs>
              <w:spacing w:before="0" w:after="0"/>
              <w:ind w:left="0" w:hanging="2"/>
              <w:jc w:val="both"/>
              <w:rPr>
                <w:rFonts w:ascii="Times New Roman" w:eastAsia="Times New Roman" w:hAnsi="Times New Roman" w:cs="Times New Roman"/>
                <w:sz w:val="22"/>
                <w:szCs w:val="22"/>
              </w:rPr>
            </w:pPr>
          </w:p>
        </w:tc>
        <w:tc>
          <w:tcPr>
            <w:tcW w:w="1506" w:type="dxa"/>
          </w:tcPr>
          <w:p w14:paraId="17E8FD88" w14:textId="77777777" w:rsidR="005918AE" w:rsidRDefault="005918AE">
            <w:pPr>
              <w:tabs>
                <w:tab w:val="left" w:pos="709"/>
                <w:tab w:val="left" w:pos="993"/>
              </w:tabs>
              <w:spacing w:before="0" w:after="0"/>
              <w:ind w:left="0" w:hanging="2"/>
              <w:jc w:val="both"/>
              <w:rPr>
                <w:rFonts w:ascii="Times New Roman" w:eastAsia="Times New Roman" w:hAnsi="Times New Roman" w:cs="Times New Roman"/>
                <w:sz w:val="22"/>
                <w:szCs w:val="22"/>
              </w:rPr>
            </w:pPr>
          </w:p>
        </w:tc>
      </w:tr>
    </w:tbl>
    <w:p w14:paraId="6F5AA54D" w14:textId="2FF09B20"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10 Supply of a black carbon analy</w:t>
      </w:r>
      <w:r w:rsidR="0071498D">
        <w:rPr>
          <w:rFonts w:ascii="Times New Roman" w:eastAsia="Times New Roman" w:hAnsi="Times New Roman" w:cs="Times New Roman"/>
          <w:sz w:val="22"/>
          <w:szCs w:val="22"/>
        </w:rPr>
        <w:t>z</w:t>
      </w:r>
      <w:r>
        <w:rPr>
          <w:rFonts w:ascii="Times New Roman" w:eastAsia="Times New Roman" w:hAnsi="Times New Roman" w:cs="Times New Roman"/>
          <w:sz w:val="22"/>
          <w:szCs w:val="22"/>
        </w:rPr>
        <w:t xml:space="preserve">er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1498D">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03845DCF"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8"/>
        <w:tblW w:w="6344" w:type="dxa"/>
        <w:jc w:val="center"/>
        <w:tblLayout w:type="fixed"/>
        <w:tblLook w:val="0000" w:firstRow="0" w:lastRow="0" w:firstColumn="0" w:lastColumn="0" w:noHBand="0" w:noVBand="0"/>
      </w:tblPr>
      <w:tblGrid>
        <w:gridCol w:w="1023"/>
        <w:gridCol w:w="3815"/>
        <w:gridCol w:w="1506"/>
      </w:tblGrid>
      <w:tr w:rsidR="005918AE" w14:paraId="5E2E80FE" w14:textId="77777777">
        <w:trPr>
          <w:trHeight w:val="877"/>
          <w:jc w:val="center"/>
        </w:trPr>
        <w:tc>
          <w:tcPr>
            <w:tcW w:w="1023" w:type="dxa"/>
            <w:shd w:val="clear" w:color="auto" w:fill="F2F2F2"/>
          </w:tcPr>
          <w:p w14:paraId="080F71CB"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538D36F0"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6B8165E2"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2EBEFFE7" w14:textId="77777777">
        <w:trPr>
          <w:trHeight w:val="257"/>
          <w:jc w:val="center"/>
        </w:trPr>
        <w:tc>
          <w:tcPr>
            <w:tcW w:w="1023" w:type="dxa"/>
          </w:tcPr>
          <w:p w14:paraId="39176DB6"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52D8A600"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Black Carbon analyzer</w:t>
            </w:r>
          </w:p>
        </w:tc>
        <w:tc>
          <w:tcPr>
            <w:tcW w:w="1506" w:type="dxa"/>
            <w:vAlign w:val="center"/>
          </w:tcPr>
          <w:p w14:paraId="5C652165"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06BFD15" w14:textId="77777777" w:rsidR="005918AE" w:rsidRDefault="005918AE">
      <w:pPr>
        <w:spacing w:before="0" w:after="0"/>
        <w:ind w:left="0" w:hanging="2"/>
        <w:jc w:val="both"/>
        <w:rPr>
          <w:rFonts w:ascii="Times New Roman" w:eastAsia="Times New Roman" w:hAnsi="Times New Roman" w:cs="Times New Roman"/>
          <w:sz w:val="22"/>
          <w:szCs w:val="22"/>
        </w:rPr>
      </w:pPr>
    </w:p>
    <w:p w14:paraId="79D9095C" w14:textId="46EAEE12" w:rsidR="005918AE" w:rsidRDefault="008504CB">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11 Supply of dosimeter for the purposes of </w:t>
      </w:r>
      <w:r w:rsidR="0071498D">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1498D">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1648FCA5" w14:textId="77777777" w:rsidR="005918AE" w:rsidRDefault="005918AE">
      <w:pPr>
        <w:spacing w:before="0" w:after="0"/>
        <w:ind w:left="0" w:hanging="2"/>
        <w:jc w:val="both"/>
        <w:rPr>
          <w:rFonts w:ascii="Times New Roman" w:eastAsia="Times New Roman" w:hAnsi="Times New Roman" w:cs="Times New Roman"/>
          <w:sz w:val="22"/>
          <w:szCs w:val="22"/>
        </w:rPr>
      </w:pPr>
    </w:p>
    <w:tbl>
      <w:tblPr>
        <w:tblStyle w:val="a9"/>
        <w:tblW w:w="6344" w:type="dxa"/>
        <w:jc w:val="center"/>
        <w:tblLayout w:type="fixed"/>
        <w:tblLook w:val="0000" w:firstRow="0" w:lastRow="0" w:firstColumn="0" w:lastColumn="0" w:noHBand="0" w:noVBand="0"/>
      </w:tblPr>
      <w:tblGrid>
        <w:gridCol w:w="1023"/>
        <w:gridCol w:w="3815"/>
        <w:gridCol w:w="1506"/>
      </w:tblGrid>
      <w:tr w:rsidR="005918AE" w14:paraId="275E070B" w14:textId="77777777">
        <w:trPr>
          <w:trHeight w:val="877"/>
          <w:jc w:val="center"/>
        </w:trPr>
        <w:tc>
          <w:tcPr>
            <w:tcW w:w="1023" w:type="dxa"/>
            <w:shd w:val="clear" w:color="auto" w:fill="F2F2F2"/>
          </w:tcPr>
          <w:p w14:paraId="091100EA"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6C5CC29C"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3DA2BDF4"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918AE" w14:paraId="068D0BDE" w14:textId="77777777">
        <w:trPr>
          <w:trHeight w:val="257"/>
          <w:jc w:val="center"/>
        </w:trPr>
        <w:tc>
          <w:tcPr>
            <w:tcW w:w="1023" w:type="dxa"/>
          </w:tcPr>
          <w:p w14:paraId="5D40FCD2" w14:textId="77777777" w:rsidR="005918AE" w:rsidRDefault="008504CB">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212FFD9A"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Dosimeter</w:t>
            </w:r>
          </w:p>
        </w:tc>
        <w:tc>
          <w:tcPr>
            <w:tcW w:w="1506" w:type="dxa"/>
            <w:vAlign w:val="center"/>
          </w:tcPr>
          <w:p w14:paraId="4920B358" w14:textId="77777777" w:rsidR="005918AE" w:rsidRDefault="008504CB">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6C0CEF67" w14:textId="77777777" w:rsidR="005918AE" w:rsidRDefault="005918AE">
      <w:pPr>
        <w:spacing w:before="0" w:after="0"/>
        <w:ind w:left="0" w:hanging="2"/>
        <w:jc w:val="both"/>
        <w:rPr>
          <w:rFonts w:ascii="Times New Roman" w:eastAsia="Times New Roman" w:hAnsi="Times New Roman" w:cs="Times New Roman"/>
          <w:sz w:val="22"/>
          <w:szCs w:val="22"/>
        </w:rPr>
      </w:pPr>
    </w:p>
    <w:p w14:paraId="4749459E" w14:textId="77777777" w:rsidR="005918AE" w:rsidRDefault="008504CB">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supplies must comply fully with the technical specifications set out in the tender dossier (technical annex/s) and conform in all respects with the drawings, quantities, models, samples, measurements and other instructions. </w:t>
      </w:r>
    </w:p>
    <w:p w14:paraId="61009A55" w14:textId="77777777" w:rsidR="005918AE" w:rsidRDefault="008504CB">
      <w:pPr>
        <w:pStyle w:val="Heading2"/>
        <w:keepNext w:val="0"/>
        <w:tabs>
          <w:tab w:val="left" w:pos="709"/>
        </w:tabs>
        <w:ind w:left="0" w:hanging="2"/>
        <w:jc w:val="both"/>
        <w:rPr>
          <w:rFonts w:ascii="Times New Roman" w:eastAsia="Times New Roman" w:hAnsi="Times New Roman" w:cs="Times New Roman"/>
        </w:rPr>
      </w:pPr>
      <w:bookmarkStart w:id="5" w:name="_heading=h.tyjcwt" w:colFirst="0" w:colLast="0"/>
      <w:bookmarkEnd w:id="5"/>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6F2DAA35" w14:textId="77777777" w:rsidR="005918AE" w:rsidRDefault="008504CB">
      <w:pPr>
        <w:pStyle w:val="Heading1"/>
        <w:numPr>
          <w:ilvl w:val="0"/>
          <w:numId w:val="3"/>
        </w:numPr>
        <w:ind w:left="1" w:hanging="3"/>
      </w:pPr>
      <w:r>
        <w:lastRenderedPageBreak/>
        <w:t>Timetable</w:t>
      </w:r>
    </w:p>
    <w:tbl>
      <w:tblPr>
        <w:tblStyle w:val="aa"/>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5918AE" w14:paraId="6AA16CBF" w14:textId="77777777">
        <w:tc>
          <w:tcPr>
            <w:tcW w:w="3969" w:type="dxa"/>
            <w:tcBorders>
              <w:bottom w:val="nil"/>
            </w:tcBorders>
            <w:shd w:val="clear" w:color="auto" w:fill="auto"/>
          </w:tcPr>
          <w:p w14:paraId="45E7B2B5" w14:textId="77777777" w:rsidR="005918AE" w:rsidRDefault="005918AE">
            <w:pPr>
              <w:keepNext/>
              <w:ind w:left="0" w:hanging="2"/>
              <w:jc w:val="both"/>
              <w:rPr>
                <w:rFonts w:ascii="Times New Roman" w:eastAsia="Times New Roman" w:hAnsi="Times New Roman" w:cs="Times New Roman"/>
              </w:rPr>
            </w:pPr>
          </w:p>
        </w:tc>
        <w:tc>
          <w:tcPr>
            <w:tcW w:w="2410" w:type="dxa"/>
            <w:shd w:val="clear" w:color="auto" w:fill="E6E6E6"/>
          </w:tcPr>
          <w:p w14:paraId="64BFA28B" w14:textId="77777777" w:rsidR="005918AE" w:rsidRDefault="008504CB">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26CB91B4" w14:textId="77777777" w:rsidR="005918AE" w:rsidRDefault="008504CB">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5918AE" w14:paraId="1A4AFFEE" w14:textId="77777777">
        <w:tc>
          <w:tcPr>
            <w:tcW w:w="3969" w:type="dxa"/>
            <w:shd w:val="clear" w:color="auto" w:fill="E6E6E6"/>
          </w:tcPr>
          <w:p w14:paraId="4DD5CABB"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1DCF3EA1"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32A26009"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5918AE" w14:paraId="3CF7CE18" w14:textId="77777777">
        <w:tc>
          <w:tcPr>
            <w:tcW w:w="3969" w:type="dxa"/>
            <w:shd w:val="clear" w:color="auto" w:fill="E6E6E6"/>
          </w:tcPr>
          <w:p w14:paraId="4A490BF3" w14:textId="77777777" w:rsidR="005918AE" w:rsidRDefault="008504CB">
            <w:pPr>
              <w:keepNext/>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requesting clarifications from the contracting authority</w:t>
            </w:r>
          </w:p>
        </w:tc>
        <w:tc>
          <w:tcPr>
            <w:tcW w:w="2410" w:type="dxa"/>
          </w:tcPr>
          <w:p w14:paraId="6F5C55D9" w14:textId="77777777" w:rsidR="005918AE" w:rsidRPr="005B1FDA" w:rsidRDefault="008504CB">
            <w:pPr>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26.10.2021</w:t>
            </w:r>
          </w:p>
        </w:tc>
        <w:tc>
          <w:tcPr>
            <w:tcW w:w="2268" w:type="dxa"/>
          </w:tcPr>
          <w:p w14:paraId="4456473D"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5918AE" w14:paraId="7B379CC9" w14:textId="77777777">
        <w:tc>
          <w:tcPr>
            <w:tcW w:w="3969" w:type="dxa"/>
            <w:shd w:val="clear" w:color="auto" w:fill="E6E6E6"/>
          </w:tcPr>
          <w:p w14:paraId="09AA4DE2"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Last date on which clarifications are issued by the contracting authority</w:t>
            </w:r>
          </w:p>
        </w:tc>
        <w:tc>
          <w:tcPr>
            <w:tcW w:w="2410" w:type="dxa"/>
          </w:tcPr>
          <w:p w14:paraId="657A7E70" w14:textId="77777777" w:rsidR="005918AE" w:rsidRPr="005B1FDA" w:rsidRDefault="008504CB">
            <w:pPr>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05.11.2021</w:t>
            </w:r>
          </w:p>
        </w:tc>
        <w:tc>
          <w:tcPr>
            <w:tcW w:w="2268" w:type="dxa"/>
          </w:tcPr>
          <w:p w14:paraId="27517664"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5918AE" w14:paraId="0DB20B76" w14:textId="77777777">
        <w:tc>
          <w:tcPr>
            <w:tcW w:w="3969" w:type="dxa"/>
            <w:shd w:val="clear" w:color="auto" w:fill="E6E6E6"/>
          </w:tcPr>
          <w:p w14:paraId="1F86CFA5"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Deadline for submission of tenders</w:t>
            </w:r>
          </w:p>
        </w:tc>
        <w:tc>
          <w:tcPr>
            <w:tcW w:w="2410" w:type="dxa"/>
          </w:tcPr>
          <w:p w14:paraId="11D8B3E7" w14:textId="77777777" w:rsidR="005918AE" w:rsidRPr="005B1FDA" w:rsidRDefault="008504CB">
            <w:pPr>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16.11.2021</w:t>
            </w:r>
          </w:p>
        </w:tc>
        <w:tc>
          <w:tcPr>
            <w:tcW w:w="2268" w:type="dxa"/>
          </w:tcPr>
          <w:p w14:paraId="417A58EB"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5918AE" w14:paraId="08FBE1DC" w14:textId="77777777">
        <w:tc>
          <w:tcPr>
            <w:tcW w:w="3969" w:type="dxa"/>
            <w:shd w:val="clear" w:color="auto" w:fill="E6E6E6"/>
          </w:tcPr>
          <w:p w14:paraId="026E6A6A" w14:textId="77777777" w:rsidR="005918AE" w:rsidRDefault="008504CB">
            <w:pPr>
              <w:ind w:left="0" w:hanging="2"/>
              <w:jc w:val="both"/>
              <w:rPr>
                <w:rFonts w:ascii="Times New Roman" w:eastAsia="Times New Roman" w:hAnsi="Times New Roman" w:cs="Times New Roman"/>
                <w:sz w:val="22"/>
                <w:szCs w:val="22"/>
              </w:rPr>
            </w:pPr>
            <w:bookmarkStart w:id="6" w:name="_heading=h.3dy6vkm" w:colFirst="0" w:colLast="0"/>
            <w:bookmarkEnd w:id="6"/>
            <w:r>
              <w:rPr>
                <w:rFonts w:ascii="Times New Roman" w:eastAsia="Times New Roman" w:hAnsi="Times New Roman" w:cs="Times New Roman"/>
                <w:b/>
                <w:sz w:val="22"/>
                <w:szCs w:val="22"/>
              </w:rPr>
              <w:t>Tender opening session</w:t>
            </w:r>
          </w:p>
        </w:tc>
        <w:tc>
          <w:tcPr>
            <w:tcW w:w="2410" w:type="dxa"/>
          </w:tcPr>
          <w:p w14:paraId="60F50EFE" w14:textId="77777777" w:rsidR="005918AE" w:rsidRPr="005B1FDA" w:rsidRDefault="008504CB">
            <w:pPr>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22.11.2021</w:t>
            </w:r>
          </w:p>
        </w:tc>
        <w:tc>
          <w:tcPr>
            <w:tcW w:w="2268" w:type="dxa"/>
          </w:tcPr>
          <w:p w14:paraId="344CFFBE" w14:textId="77777777" w:rsidR="005918AE" w:rsidRDefault="008504CB">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14.00</w:t>
            </w:r>
          </w:p>
        </w:tc>
      </w:tr>
      <w:tr w:rsidR="005918AE" w14:paraId="4E53539A" w14:textId="77777777">
        <w:tc>
          <w:tcPr>
            <w:tcW w:w="3969" w:type="dxa"/>
            <w:shd w:val="clear" w:color="auto" w:fill="E6E6E6"/>
          </w:tcPr>
          <w:p w14:paraId="4214737D" w14:textId="77777777" w:rsidR="005918AE" w:rsidRDefault="008504CB">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Notification of award to the successful tenderer</w:t>
            </w:r>
          </w:p>
        </w:tc>
        <w:tc>
          <w:tcPr>
            <w:tcW w:w="2410" w:type="dxa"/>
          </w:tcPr>
          <w:p w14:paraId="259F4F97" w14:textId="77777777" w:rsidR="005918AE" w:rsidRPr="005B1FDA" w:rsidRDefault="008504CB">
            <w:pPr>
              <w:tabs>
                <w:tab w:val="left" w:pos="851"/>
              </w:tabs>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 xml:space="preserve"> 03.12.2021 </w:t>
            </w:r>
            <w:r w:rsidRPr="005B1FDA">
              <w:rPr>
                <w:rFonts w:ascii="Times New Roman" w:eastAsia="Times New Roman" w:hAnsi="Times New Roman" w:cs="Times New Roman"/>
                <w:sz w:val="22"/>
                <w:szCs w:val="22"/>
                <w:vertAlign w:val="superscript"/>
              </w:rPr>
              <w:t>**</w:t>
            </w:r>
          </w:p>
        </w:tc>
        <w:tc>
          <w:tcPr>
            <w:tcW w:w="2268" w:type="dxa"/>
          </w:tcPr>
          <w:p w14:paraId="6BBD0AC7" w14:textId="77777777" w:rsidR="005918AE" w:rsidRDefault="008504CB">
            <w:pPr>
              <w:tabs>
                <w:tab w:val="left" w:pos="851"/>
              </w:tabs>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5918AE" w14:paraId="7FE9F021" w14:textId="77777777">
        <w:tc>
          <w:tcPr>
            <w:tcW w:w="3969" w:type="dxa"/>
            <w:shd w:val="clear" w:color="auto" w:fill="E6E6E6"/>
          </w:tcPr>
          <w:p w14:paraId="6DBB1695" w14:textId="77777777" w:rsidR="005918AE" w:rsidRDefault="008504CB">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Signature of the contract</w:t>
            </w:r>
          </w:p>
        </w:tc>
        <w:tc>
          <w:tcPr>
            <w:tcW w:w="2410" w:type="dxa"/>
          </w:tcPr>
          <w:p w14:paraId="3D5E3197" w14:textId="2DC9F8C1" w:rsidR="005918AE" w:rsidRPr="005B1FDA" w:rsidRDefault="005B1FDA">
            <w:pPr>
              <w:tabs>
                <w:tab w:val="left" w:pos="851"/>
              </w:tabs>
              <w:ind w:left="0" w:hanging="2"/>
              <w:rPr>
                <w:rFonts w:ascii="Times New Roman" w:eastAsia="Times New Roman" w:hAnsi="Times New Roman" w:cs="Times New Roman"/>
                <w:sz w:val="22"/>
                <w:szCs w:val="22"/>
              </w:rPr>
            </w:pPr>
            <w:r w:rsidRPr="005B1FDA">
              <w:rPr>
                <w:rFonts w:ascii="Times New Roman" w:eastAsia="Times New Roman" w:hAnsi="Times New Roman" w:cs="Times New Roman"/>
                <w:sz w:val="22"/>
                <w:szCs w:val="22"/>
              </w:rPr>
              <w:t>21</w:t>
            </w:r>
            <w:r w:rsidR="008504CB" w:rsidRPr="005B1FDA">
              <w:rPr>
                <w:rFonts w:ascii="Times New Roman" w:eastAsia="Times New Roman" w:hAnsi="Times New Roman" w:cs="Times New Roman"/>
                <w:sz w:val="22"/>
                <w:szCs w:val="22"/>
              </w:rPr>
              <w:t>.12.2021</w:t>
            </w:r>
          </w:p>
        </w:tc>
        <w:tc>
          <w:tcPr>
            <w:tcW w:w="2268" w:type="dxa"/>
          </w:tcPr>
          <w:p w14:paraId="61A13137" w14:textId="77777777" w:rsidR="005918AE" w:rsidRDefault="008504CB">
            <w:pPr>
              <w:tabs>
                <w:tab w:val="left" w:pos="851"/>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4CAE2A6F" w14:textId="77777777" w:rsidR="005918AE" w:rsidRDefault="008504CB">
      <w:pPr>
        <w:tabs>
          <w:tab w:val="left" w:pos="851"/>
        </w:tabs>
        <w:ind w:left="0" w:hanging="2"/>
        <w:jc w:val="both"/>
        <w:rPr>
          <w:rFonts w:ascii="Times New Roman" w:eastAsia="Times New Roman" w:hAnsi="Times New Roman" w:cs="Times New Roman"/>
        </w:rPr>
      </w:pPr>
      <w:bookmarkStart w:id="7" w:name="_heading=h.1t3h5sf" w:colFirst="0" w:colLast="0"/>
      <w:bookmarkEnd w:id="7"/>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509EB552" w14:textId="77777777" w:rsidR="005918AE" w:rsidRDefault="008504CB">
      <w:pPr>
        <w:pStyle w:val="Heading1"/>
        <w:numPr>
          <w:ilvl w:val="0"/>
          <w:numId w:val="3"/>
        </w:numPr>
        <w:ind w:left="1" w:hanging="3"/>
      </w:pPr>
      <w:r>
        <w:t>Participation</w:t>
      </w:r>
    </w:p>
    <w:p w14:paraId="739EF230" w14:textId="77777777" w:rsidR="005918AE" w:rsidRDefault="008504CB">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sz w:val="22"/>
          <w:szCs w:val="22"/>
          <w:highlight w:val="yellow"/>
        </w:rPr>
      </w:pPr>
      <w:bookmarkStart w:id="8" w:name="_heading=h.4d34og8" w:colFirst="0" w:colLast="0"/>
      <w:bookmarkEnd w:id="8"/>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w:t>
      </w:r>
    </w:p>
    <w:p w14:paraId="33BE0EC1" w14:textId="77777777" w:rsidR="005918AE" w:rsidRDefault="008504CB">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rPr>
      </w:pPr>
      <w:bookmarkStart w:id="9" w:name="_heading=h.fhhgp979zrio" w:colFirst="0" w:colLast="0"/>
      <w:bookmarkEnd w:id="9"/>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1D48CA92" w14:textId="4DD82634" w:rsidR="005918AE" w:rsidRDefault="008504CB">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The eligibility requirement detailed in subclauses 3.1 and 3.2 applies to all members of a joint</w:t>
      </w:r>
      <w:r w:rsidR="0071498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and all subcontractors, as well as to all entities upon whose capacity the tenderer relies for the selection criteria. Every tenderer, member of a joint</w:t>
      </w:r>
      <w:r w:rsidR="0071498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0C900F52" w14:textId="77777777" w:rsidR="005918AE" w:rsidRDefault="008504CB">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 </w:t>
      </w:r>
      <w:r>
        <w:rPr>
          <w:rFonts w:ascii="Times New Roman" w:eastAsia="Times New Roman" w:hAnsi="Times New Roman" w:cs="Times New Roman"/>
          <w:sz w:val="22"/>
          <w:szCs w:val="22"/>
        </w:rPr>
        <w:lastRenderedPageBreak/>
        <w:t>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0DA86CD2" w14:textId="11E07DC9"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w:t>
      </w:r>
      <w:r w:rsidR="0071498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11637854" w14:textId="77777777" w:rsidR="005918AE" w:rsidRDefault="008504CB" w:rsidP="005B1FDA">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300BDF4C" w14:textId="77777777" w:rsidR="005918AE" w:rsidRDefault="008504CB">
      <w:pPr>
        <w:pStyle w:val="Heading2"/>
        <w:tabs>
          <w:tab w:val="left" w:pos="792"/>
          <w:tab w:val="left" w:pos="8080"/>
        </w:tabs>
        <w:ind w:left="0" w:hanging="2"/>
        <w:jc w:val="both"/>
        <w:rPr>
          <w:rFonts w:ascii="Times New Roman" w:eastAsia="Times New Roman" w:hAnsi="Times New Roman" w:cs="Times New Roman"/>
          <w:sz w:val="22"/>
          <w:szCs w:val="22"/>
        </w:rPr>
      </w:pPr>
      <w:bookmarkStart w:id="10" w:name="_heading=h.2s8eyo1" w:colFirst="0" w:colLast="0"/>
      <w:bookmarkEnd w:id="10"/>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5282239A" w14:textId="77777777" w:rsidR="005918AE" w:rsidRDefault="008504CB">
      <w:pPr>
        <w:pStyle w:val="Heading1"/>
        <w:numPr>
          <w:ilvl w:val="0"/>
          <w:numId w:val="3"/>
        </w:numPr>
        <w:ind w:left="1" w:hanging="3"/>
      </w:pPr>
      <w:r>
        <w:t>Origin</w:t>
      </w:r>
    </w:p>
    <w:p w14:paraId="659C9F3D"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4495CE43" w14:textId="77777777" w:rsidR="005918AE" w:rsidRPr="005B1FDA" w:rsidRDefault="008504CB" w:rsidP="005B1FDA">
      <w:pPr>
        <w:ind w:left="0" w:hanging="2"/>
        <w:jc w:val="both"/>
        <w:rPr>
          <w:rFonts w:ascii="Times New Roman" w:eastAsia="Times New Roman" w:hAnsi="Times New Roman" w:cs="Times New Roman"/>
          <w:b/>
          <w:bCs/>
          <w:sz w:val="22"/>
          <w:szCs w:val="22"/>
        </w:rPr>
      </w:pPr>
      <w:r w:rsidRPr="005B1FDA">
        <w:rPr>
          <w:rFonts w:ascii="Times New Roman" w:eastAsia="Times New Roman" w:hAnsi="Times New Roman" w:cs="Times New Roman"/>
          <w:b/>
          <w:bCs/>
          <w:sz w:val="22"/>
          <w:szCs w:val="22"/>
        </w:rPr>
        <w:t xml:space="preserve">All supplies under this contract with exception of Lot 3 may originate from any country. For supplies of Lot 3 all goods purchased must originate in a Member State of the European Union or in a country or territory of the regions covered and/or authorised by the specific instruments applicable to the programme specified in clause 3.1 above and with respect of the conditions of Instructions of tenderers of Lot 3.  </w:t>
      </w:r>
    </w:p>
    <w:p w14:paraId="4216B7C8"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7C954C85"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1" w:name="_heading=h.17dp8vu" w:colFirst="0" w:colLast="0"/>
      <w:bookmarkEnd w:id="11"/>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06A5747E" w14:textId="77777777" w:rsidR="005918AE" w:rsidRDefault="008504CB">
      <w:pPr>
        <w:pStyle w:val="Heading1"/>
        <w:numPr>
          <w:ilvl w:val="0"/>
          <w:numId w:val="3"/>
        </w:numPr>
        <w:ind w:left="1" w:hanging="3"/>
      </w:pPr>
      <w:r>
        <w:t>Type of contract</w:t>
      </w:r>
    </w:p>
    <w:p w14:paraId="1472C817"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2" w:name="_heading=h.3rdcrjn" w:colFirst="0" w:colLast="0"/>
      <w:bookmarkEnd w:id="12"/>
      <w:r>
        <w:rPr>
          <w:rFonts w:ascii="Times New Roman" w:eastAsia="Times New Roman" w:hAnsi="Times New Roman" w:cs="Times New Roman"/>
          <w:sz w:val="22"/>
          <w:szCs w:val="22"/>
        </w:rPr>
        <w:t xml:space="preserve"> unit-price</w:t>
      </w:r>
    </w:p>
    <w:p w14:paraId="1272C452" w14:textId="77777777" w:rsidR="005918AE" w:rsidRDefault="008504CB">
      <w:pPr>
        <w:pStyle w:val="Heading1"/>
        <w:numPr>
          <w:ilvl w:val="0"/>
          <w:numId w:val="3"/>
        </w:numPr>
        <w:ind w:left="1" w:hanging="3"/>
      </w:pPr>
      <w:r>
        <w:t>Currency</w:t>
      </w:r>
    </w:p>
    <w:p w14:paraId="57E22679"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3" w:name="_heading=h.26in1rg" w:colFirst="0" w:colLast="0"/>
      <w:bookmarkEnd w:id="13"/>
      <w:r>
        <w:rPr>
          <w:rFonts w:ascii="Times New Roman" w:eastAsia="Times New Roman" w:hAnsi="Times New Roman" w:cs="Times New Roman"/>
          <w:sz w:val="22"/>
          <w:szCs w:val="22"/>
        </w:rPr>
        <w:t>Tenders must be presented in Euro.</w:t>
      </w:r>
    </w:p>
    <w:p w14:paraId="19EAE200" w14:textId="77777777" w:rsidR="005918AE" w:rsidRDefault="008504CB">
      <w:pPr>
        <w:pStyle w:val="Heading1"/>
        <w:numPr>
          <w:ilvl w:val="0"/>
          <w:numId w:val="3"/>
        </w:numPr>
        <w:ind w:left="1" w:hanging="3"/>
      </w:pPr>
      <w:r>
        <w:t>Lots</w:t>
      </w:r>
    </w:p>
    <w:p w14:paraId="62ECDF02"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4" w:name="_heading=h.lnxbz9" w:colFirst="0" w:colLast="0"/>
      <w:bookmarkEnd w:id="14"/>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343434BB" w14:textId="77777777" w:rsidR="005918AE" w:rsidRDefault="008504CB">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51D7BE14"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5CA3DE6E" w14:textId="77777777" w:rsidR="005918AE" w:rsidRDefault="008504CB">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159901A6" w14:textId="77777777" w:rsidR="005918AE" w:rsidRDefault="008504CB">
      <w:pPr>
        <w:pStyle w:val="Heading1"/>
        <w:numPr>
          <w:ilvl w:val="0"/>
          <w:numId w:val="3"/>
        </w:numPr>
        <w:ind w:left="1" w:hanging="3"/>
      </w:pPr>
      <w:r>
        <w:t>Period of validity</w:t>
      </w:r>
    </w:p>
    <w:p w14:paraId="29E0EF0F"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353FDD4E"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6E19BE6B" w14:textId="77777777" w:rsidR="005918AE" w:rsidRDefault="008504CB">
      <w:pPr>
        <w:ind w:left="0" w:hanging="2"/>
        <w:jc w:val="both"/>
        <w:rPr>
          <w:rFonts w:ascii="Times New Roman" w:eastAsia="Times New Roman" w:hAnsi="Times New Roman" w:cs="Times New Roman"/>
        </w:rPr>
      </w:pPr>
      <w:bookmarkStart w:id="15" w:name="_heading=h.35nkun2" w:colFirst="0" w:colLast="0"/>
      <w:bookmarkEnd w:id="15"/>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6CAAFAD7" w14:textId="77777777" w:rsidR="005918AE" w:rsidRDefault="008504CB">
      <w:pPr>
        <w:pStyle w:val="Heading1"/>
        <w:numPr>
          <w:ilvl w:val="0"/>
          <w:numId w:val="3"/>
        </w:numPr>
        <w:ind w:left="1" w:hanging="3"/>
      </w:pPr>
      <w:r>
        <w:t>Language of tenders</w:t>
      </w:r>
    </w:p>
    <w:p w14:paraId="76660090"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42309B42"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6" w:name="_heading=h.1ksv4uv" w:colFirst="0" w:colLast="0"/>
      <w:bookmarkEnd w:id="16"/>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5DC1120F" w14:textId="77777777" w:rsidR="005918AE" w:rsidRDefault="008504CB">
      <w:pPr>
        <w:pStyle w:val="Heading1"/>
        <w:numPr>
          <w:ilvl w:val="0"/>
          <w:numId w:val="3"/>
        </w:numPr>
        <w:ind w:left="1" w:hanging="3"/>
      </w:pPr>
      <w:r>
        <w:t>Submission of tenders</w:t>
      </w:r>
    </w:p>
    <w:p w14:paraId="52DEB68B" w14:textId="77777777" w:rsidR="005918AE" w:rsidRDefault="008504CB">
      <w:pPr>
        <w:pStyle w:val="Heading2"/>
        <w:keepNext w:val="0"/>
        <w:ind w:left="0" w:hanging="2"/>
        <w:jc w:val="both"/>
        <w:rPr>
          <w:rFonts w:ascii="Times New Roman" w:eastAsia="Times New Roman" w:hAnsi="Times New Roman" w:cs="Times New Roman"/>
          <w:sz w:val="22"/>
          <w:szCs w:val="22"/>
        </w:rPr>
      </w:pPr>
      <w:bookmarkStart w:id="17" w:name="_heading=h.44sinio" w:colFirst="0" w:colLast="0"/>
      <w:bookmarkEnd w:id="17"/>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450DDE51" w14:textId="42A8A99E"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71498D">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4016B1E0" w14:textId="26F0958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w:t>
      </w:r>
      <w:r w:rsidR="007B5F5A">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delivered they should be delivered to the following address:</w:t>
      </w:r>
    </w:p>
    <w:p w14:paraId="41B2C028" w14:textId="53EC4AC2"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71498D">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018299F3"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0A58A379" w14:textId="77777777" w:rsidR="005918AE" w:rsidRDefault="008504CB">
      <w:pPr>
        <w:ind w:left="0" w:hanging="2"/>
        <w:jc w:val="both"/>
        <w:rPr>
          <w:rFonts w:ascii="Times New Roman" w:eastAsia="Times New Roman" w:hAnsi="Times New Roman" w:cs="Times New Roman"/>
          <w:sz w:val="22"/>
          <w:szCs w:val="22"/>
        </w:rPr>
      </w:pPr>
      <w:bookmarkStart w:id="18" w:name="_heading=h.2jxsxqh" w:colFirst="0" w:colLast="0"/>
      <w:bookmarkEnd w:id="18"/>
      <w:r>
        <w:rPr>
          <w:rFonts w:ascii="Times New Roman" w:eastAsia="Times New Roman" w:hAnsi="Times New Roman" w:cs="Times New Roman"/>
          <w:sz w:val="22"/>
          <w:szCs w:val="22"/>
        </w:rPr>
        <w:t>Tenders must comply with the following conditions:</w:t>
      </w:r>
    </w:p>
    <w:p w14:paraId="0584022C" w14:textId="77777777" w:rsidR="005918AE" w:rsidRDefault="008504CB">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34540D37" w14:textId="3A458F58"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71498D">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 xml:space="preserve">Yakimov str., 8000 Burgas, Bulgaria before the deadline </w:t>
      </w:r>
      <w:r w:rsidRPr="007B5F5A">
        <w:rPr>
          <w:rFonts w:ascii="Times New Roman" w:eastAsia="Times New Roman" w:hAnsi="Times New Roman" w:cs="Times New Roman"/>
          <w:sz w:val="22"/>
          <w:szCs w:val="22"/>
        </w:rPr>
        <w:t>16.11.2021, 17.00 h.</w:t>
      </w:r>
    </w:p>
    <w:p w14:paraId="178BD428"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6A56C434"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1DB1F3E5" w14:textId="77777777" w:rsidR="005918AE" w:rsidRDefault="008504CB">
      <w:pPr>
        <w:pStyle w:val="Heading2"/>
        <w:keepNext w:val="0"/>
        <w:ind w:left="0" w:hanging="2"/>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4EE650B0"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74B24820"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7685EBCF" w14:textId="77777777" w:rsidR="005918AE" w:rsidRDefault="008504CB">
      <w:pPr>
        <w:pStyle w:val="Heading2"/>
        <w:keepNext w:val="0"/>
        <w:ind w:left="0" w:hanging="2"/>
        <w:jc w:val="both"/>
        <w:rPr>
          <w:rFonts w:ascii="Times New Roman" w:eastAsia="Times New Roman" w:hAnsi="Times New Roman" w:cs="Times New Roman"/>
          <w:sz w:val="22"/>
          <w:szCs w:val="22"/>
        </w:rPr>
      </w:pPr>
      <w:r w:rsidRPr="007B5F5A">
        <w:rPr>
          <w:rFonts w:ascii="Times New Roman" w:eastAsia="Times New Roman" w:hAnsi="Times New Roman" w:cs="Times New Roman"/>
          <w:sz w:val="22"/>
          <w:szCs w:val="22"/>
        </w:rPr>
        <w:t>b)</w:t>
      </w:r>
      <w:r w:rsidRPr="007B5F5A">
        <w:rPr>
          <w:rFonts w:ascii="Times New Roman" w:eastAsia="Times New Roman" w:hAnsi="Times New Roman" w:cs="Times New Roman"/>
          <w:sz w:val="22"/>
          <w:szCs w:val="22"/>
        </w:rPr>
        <w:tab/>
        <w:t>the reference code of this tender procedure, (i.e. &lt;</w:t>
      </w:r>
      <w:r w:rsidRPr="007B5F5A">
        <w:t xml:space="preserve"> </w:t>
      </w:r>
      <w:r w:rsidRPr="007B5F5A">
        <w:rPr>
          <w:rFonts w:ascii="Times New Roman" w:eastAsia="Times New Roman" w:hAnsi="Times New Roman" w:cs="Times New Roman"/>
          <w:sz w:val="22"/>
          <w:szCs w:val="22"/>
        </w:rPr>
        <w:t>CB005.3.12.001 -LP – Supply 3&gt;);</w:t>
      </w:r>
    </w:p>
    <w:p w14:paraId="0AB44B87"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41C2401A"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w:t>
      </w:r>
      <w:r>
        <w:t xml:space="preserve"> </w:t>
      </w:r>
      <w:r>
        <w:rPr>
          <w:rFonts w:ascii="Times New Roman" w:eastAsia="Times New Roman" w:hAnsi="Times New Roman" w:cs="Times New Roman"/>
          <w:sz w:val="22"/>
          <w:szCs w:val="22"/>
        </w:rPr>
        <w:t>Да не се отваря преди започване на тръжната сесия &gt;.&gt;.</w:t>
      </w:r>
    </w:p>
    <w:p w14:paraId="5421F8EA"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3657102F"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and financial offers must be placed together in a sealed envelope. The envelope should then be placed in another single sealed envelope/package, unless their volume requires a separate submission for each lot.</w:t>
      </w:r>
    </w:p>
    <w:p w14:paraId="4514B97C" w14:textId="77777777" w:rsidR="005918AE" w:rsidRDefault="005918AE">
      <w:pPr>
        <w:ind w:left="0" w:hanging="2"/>
      </w:pPr>
      <w:bookmarkStart w:id="19" w:name="_heading=h.z337ya" w:colFirst="0" w:colLast="0"/>
      <w:bookmarkEnd w:id="19"/>
    </w:p>
    <w:p w14:paraId="471C9ECA" w14:textId="77777777" w:rsidR="005918AE" w:rsidRDefault="008504CB">
      <w:pPr>
        <w:pStyle w:val="Heading1"/>
        <w:numPr>
          <w:ilvl w:val="0"/>
          <w:numId w:val="3"/>
        </w:numPr>
        <w:ind w:left="1" w:hanging="3"/>
      </w:pPr>
      <w:r>
        <w:t>Content of tenders</w:t>
      </w:r>
    </w:p>
    <w:p w14:paraId="300495EF" w14:textId="77777777" w:rsidR="005918AE" w:rsidRDefault="008504CB">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3AF8B08A" w14:textId="77777777" w:rsidR="005918AE" w:rsidRDefault="008504CB">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7199793E" w14:textId="77777777" w:rsidR="005918AE" w:rsidRDefault="008504CB">
      <w:pPr>
        <w:pStyle w:val="Heading2"/>
        <w:keepLines/>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27CD3AEF" w14:textId="77777777" w:rsidR="005918AE" w:rsidRDefault="008504CB">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075A9C99"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3A364EC8" w14:textId="77777777" w:rsidR="005918AE" w:rsidRDefault="008504CB">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50792725" w14:textId="77777777" w:rsidR="005918AE" w:rsidRDefault="008504CB">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52DFA423" w14:textId="77777777" w:rsidR="005918AE" w:rsidRDefault="008504CB">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68A8A98E" w14:textId="77777777" w:rsidR="005918AE" w:rsidRDefault="008504CB">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297D9A6F" w14:textId="77777777" w:rsidR="005918AE" w:rsidRDefault="008504CB">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529A52BD" w14:textId="77777777" w:rsidR="005918AE" w:rsidRDefault="008504CB">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05650244" w14:textId="77777777" w:rsidR="005918AE" w:rsidRDefault="008504CB">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0F14A9DF" w14:textId="77777777" w:rsidR="005918AE" w:rsidRDefault="008504CB">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26C58836" w14:textId="77777777" w:rsidR="005918AE" w:rsidRDefault="008504CB">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03073BF0" w14:textId="77777777" w:rsidR="005918AE" w:rsidRDefault="008504CB">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47932221" w14:textId="77777777" w:rsidR="005918AE" w:rsidRDefault="005918AE">
      <w:pPr>
        <w:spacing w:after="0"/>
        <w:ind w:left="0" w:hanging="2"/>
        <w:jc w:val="both"/>
        <w:rPr>
          <w:rFonts w:ascii="Times New Roman" w:eastAsia="Times New Roman" w:hAnsi="Times New Roman" w:cs="Times New Roman"/>
          <w:sz w:val="22"/>
          <w:szCs w:val="22"/>
        </w:rPr>
      </w:pPr>
    </w:p>
    <w:p w14:paraId="729131D1" w14:textId="77777777" w:rsidR="005918AE" w:rsidRDefault="008504CB">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47310A00" w14:textId="77777777" w:rsidR="005918AE" w:rsidRDefault="008504CB">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3F596B35" w14:textId="77777777" w:rsidR="005918AE" w:rsidRDefault="008504CB">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6472957C" w14:textId="77777777" w:rsidR="005918AE" w:rsidRDefault="008504CB">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1ADDAFF5" w14:textId="77777777" w:rsidR="005918AE" w:rsidRDefault="005918AE">
      <w:pPr>
        <w:ind w:left="0" w:hanging="2"/>
        <w:rPr>
          <w:rFonts w:ascii="Times New Roman" w:eastAsia="Times New Roman" w:hAnsi="Times New Roman" w:cs="Times New Roman"/>
          <w:sz w:val="22"/>
          <w:szCs w:val="22"/>
        </w:rPr>
      </w:pPr>
      <w:bookmarkStart w:id="20" w:name="_heading=h.3j2qqm3" w:colFirst="0" w:colLast="0"/>
      <w:bookmarkEnd w:id="20"/>
    </w:p>
    <w:p w14:paraId="45B411C9" w14:textId="77777777" w:rsidR="005918AE" w:rsidRDefault="008504CB">
      <w:pPr>
        <w:pStyle w:val="Heading1"/>
        <w:numPr>
          <w:ilvl w:val="0"/>
          <w:numId w:val="3"/>
        </w:numPr>
        <w:ind w:left="1" w:hanging="3"/>
      </w:pPr>
      <w:r>
        <w:t>Taxes and other charges</w:t>
      </w:r>
    </w:p>
    <w:p w14:paraId="281B264F"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349979D2" w14:textId="77777777" w:rsidR="005918AE" w:rsidRDefault="008504CB">
      <w:pPr>
        <w:ind w:left="0" w:hanging="2"/>
        <w:jc w:val="both"/>
        <w:rPr>
          <w:rFonts w:ascii="Times New Roman" w:eastAsia="Times New Roman" w:hAnsi="Times New Roman" w:cs="Times New Roman"/>
          <w:sz w:val="22"/>
          <w:szCs w:val="22"/>
        </w:rPr>
      </w:pPr>
      <w:bookmarkStart w:id="21" w:name="_heading=h.1y810tw" w:colFirst="0" w:colLast="0"/>
      <w:bookmarkEnd w:id="21"/>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7EE32DF3" w14:textId="77777777" w:rsidR="005918AE" w:rsidRDefault="008504CB">
      <w:pPr>
        <w:pStyle w:val="Heading1"/>
        <w:numPr>
          <w:ilvl w:val="0"/>
          <w:numId w:val="3"/>
        </w:numPr>
        <w:ind w:left="1" w:hanging="3"/>
      </w:pPr>
      <w:r>
        <w:t>Additional information before the deadline for submission of tenders</w:t>
      </w:r>
    </w:p>
    <w:p w14:paraId="6C66BA1C"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3BFEC7AC"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383EE2EF" w14:textId="77777777" w:rsidR="005918AE" w:rsidRPr="007B5F5A"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7B5F5A">
        <w:rPr>
          <w:rFonts w:ascii="Times New Roman" w:eastAsia="Times New Roman" w:hAnsi="Times New Roman" w:cs="Times New Roman"/>
          <w:color w:val="000000"/>
          <w:sz w:val="22"/>
          <w:szCs w:val="22"/>
        </w:rPr>
        <w:t>Contact name: Svetlana Zheleva</w:t>
      </w:r>
    </w:p>
    <w:p w14:paraId="5F94AF4F" w14:textId="4035A0BB"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71498D">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66164449" w14:textId="77777777" w:rsidR="005918AE" w:rsidRDefault="008504CB">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7F469582"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51E29922" w14:textId="42CA746E" w:rsidR="005918AE" w:rsidRDefault="008504CB" w:rsidP="007B5F5A">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7B5F5A" w:rsidRPr="00EF3162">
          <w:rPr>
            <w:rStyle w:val="Hyperlink"/>
            <w:rFonts w:ascii="Times New Roman" w:hAnsi="Times New Roman" w:cs="Times New Roman"/>
            <w:color w:val="1155CC"/>
            <w:sz w:val="22"/>
            <w:szCs w:val="22"/>
            <w:shd w:val="clear" w:color="auto" w:fill="FFFFFF"/>
          </w:rPr>
          <w:t>https://www.</w:t>
        </w:r>
        <w:r w:rsidR="007B5F5A" w:rsidRPr="00EF3162">
          <w:rPr>
            <w:rStyle w:val="il"/>
            <w:rFonts w:ascii="Times New Roman" w:hAnsi="Times New Roman" w:cs="Times New Roman"/>
            <w:color w:val="1155CC"/>
            <w:sz w:val="22"/>
            <w:szCs w:val="22"/>
            <w:u w:val="single"/>
            <w:shd w:val="clear" w:color="auto" w:fill="FFFFFF"/>
          </w:rPr>
          <w:t>btu</w:t>
        </w:r>
        <w:r w:rsidR="007B5F5A"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Pr>
          <w:color w:val="000000"/>
        </w:rPr>
        <w:t xml:space="preserve"> </w:t>
      </w:r>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r w:rsidR="007B5F5A">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7D197F65" w14:textId="77777777" w:rsidR="005918AE" w:rsidRDefault="008504CB" w:rsidP="007B5F5A">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2" w:name="_heading=h.4i7ojhp" w:colFirst="0" w:colLast="0"/>
      <w:bookmarkEnd w:id="22"/>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563941EC" w14:textId="77777777" w:rsidR="005918AE" w:rsidRDefault="008504CB">
      <w:pPr>
        <w:pStyle w:val="Heading1"/>
        <w:numPr>
          <w:ilvl w:val="0"/>
          <w:numId w:val="3"/>
        </w:numPr>
        <w:ind w:left="1" w:hanging="3"/>
      </w:pPr>
      <w:r>
        <w:t>Clarification meeting / site visit</w:t>
      </w:r>
    </w:p>
    <w:p w14:paraId="6DA2DADD" w14:textId="77777777" w:rsidR="005918AE" w:rsidRDefault="008504CB">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3" w:name="_heading=h.2xcytpi" w:colFirst="0" w:colLast="0"/>
      <w:bookmarkEnd w:id="23"/>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1BB35237" w14:textId="77777777" w:rsidR="005918AE" w:rsidRDefault="008504CB">
      <w:pPr>
        <w:pStyle w:val="Heading1"/>
        <w:numPr>
          <w:ilvl w:val="0"/>
          <w:numId w:val="3"/>
        </w:numPr>
        <w:ind w:left="1" w:hanging="3"/>
      </w:pPr>
      <w:r>
        <w:t>Alteration or withdrawal of tenders</w:t>
      </w:r>
    </w:p>
    <w:p w14:paraId="4965BA42" w14:textId="77777777" w:rsidR="005918AE" w:rsidRDefault="008504CB">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EA74B3E" w14:textId="77777777" w:rsidR="005918AE" w:rsidRDefault="008504CB">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52FE7E7C" w14:textId="77777777" w:rsidR="005918AE" w:rsidRDefault="008504CB">
      <w:pPr>
        <w:pStyle w:val="Heading2"/>
        <w:keepNext w:val="0"/>
        <w:ind w:left="0" w:hanging="2"/>
        <w:jc w:val="both"/>
        <w:rPr>
          <w:rFonts w:ascii="Times New Roman" w:eastAsia="Times New Roman" w:hAnsi="Times New Roman" w:cs="Times New Roman"/>
        </w:rPr>
      </w:pPr>
      <w:bookmarkStart w:id="24" w:name="_heading=h.1ci93xb" w:colFirst="0" w:colLast="0"/>
      <w:bookmarkEnd w:id="24"/>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84749A5" w14:textId="77777777" w:rsidR="005918AE" w:rsidRDefault="008504CB">
      <w:pPr>
        <w:pStyle w:val="Heading1"/>
        <w:numPr>
          <w:ilvl w:val="0"/>
          <w:numId w:val="3"/>
        </w:numPr>
        <w:ind w:left="1" w:hanging="3"/>
      </w:pPr>
      <w:r>
        <w:t>Costs of preparing tenders</w:t>
      </w:r>
    </w:p>
    <w:p w14:paraId="31E0F651" w14:textId="77777777" w:rsidR="005918AE" w:rsidRDefault="008504CB">
      <w:pPr>
        <w:tabs>
          <w:tab w:val="left" w:pos="567"/>
        </w:tabs>
        <w:ind w:left="0" w:hanging="2"/>
        <w:jc w:val="both"/>
        <w:rPr>
          <w:rFonts w:ascii="Times New Roman" w:eastAsia="Times New Roman" w:hAnsi="Times New Roman" w:cs="Times New Roman"/>
          <w:sz w:val="22"/>
          <w:szCs w:val="22"/>
        </w:rPr>
      </w:pPr>
      <w:bookmarkStart w:id="25" w:name="_heading=h.3whwml4" w:colFirst="0" w:colLast="0"/>
      <w:bookmarkEnd w:id="25"/>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1E563DD2" w14:textId="77777777" w:rsidR="005918AE" w:rsidRDefault="008504CB">
      <w:pPr>
        <w:pStyle w:val="Heading1"/>
        <w:numPr>
          <w:ilvl w:val="0"/>
          <w:numId w:val="3"/>
        </w:numPr>
        <w:ind w:left="1" w:hanging="3"/>
      </w:pPr>
      <w:r>
        <w:t>Ownership of tenders</w:t>
      </w:r>
    </w:p>
    <w:p w14:paraId="6D8E6433" w14:textId="77777777" w:rsidR="005918AE" w:rsidRDefault="008504CB">
      <w:pPr>
        <w:ind w:left="0" w:hanging="2"/>
        <w:jc w:val="both"/>
        <w:rPr>
          <w:rFonts w:ascii="Times New Roman" w:eastAsia="Times New Roman" w:hAnsi="Times New Roman" w:cs="Times New Roman"/>
          <w:sz w:val="22"/>
          <w:szCs w:val="22"/>
        </w:rPr>
      </w:pPr>
      <w:bookmarkStart w:id="26" w:name="_heading=h.2bn6wsx" w:colFirst="0" w:colLast="0"/>
      <w:bookmarkEnd w:id="26"/>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0AA6DA3D" w14:textId="7B9073EA" w:rsidR="005918AE" w:rsidRDefault="008504CB">
      <w:pPr>
        <w:pStyle w:val="Heading1"/>
        <w:numPr>
          <w:ilvl w:val="0"/>
          <w:numId w:val="3"/>
        </w:numPr>
        <w:ind w:left="1" w:hanging="3"/>
      </w:pPr>
      <w:r>
        <w:t>Joint</w:t>
      </w:r>
      <w:r w:rsidR="007B5F5A">
        <w:t>-</w:t>
      </w:r>
      <w:r>
        <w:t>venture or consortium</w:t>
      </w:r>
    </w:p>
    <w:p w14:paraId="3E0F043E" w14:textId="696F7696" w:rsidR="005918AE" w:rsidRDefault="008504CB">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71498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61228D32" w14:textId="5378A7FF" w:rsidR="005918AE" w:rsidRDefault="008504CB">
      <w:pPr>
        <w:pStyle w:val="Heading2"/>
        <w:keepNext w:val="0"/>
        <w:ind w:left="0" w:hanging="2"/>
        <w:jc w:val="both"/>
        <w:rPr>
          <w:rFonts w:ascii="Times New Roman" w:eastAsia="Times New Roman" w:hAnsi="Times New Roman" w:cs="Times New Roman"/>
        </w:rPr>
      </w:pPr>
      <w:bookmarkStart w:id="27" w:name="_heading=h.qsh70q" w:colFirst="0" w:colLast="0"/>
      <w:bookmarkEnd w:id="27"/>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7B5F5A">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71498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058FACBB" w14:textId="77777777" w:rsidR="005918AE" w:rsidRDefault="008504CB">
      <w:pPr>
        <w:pStyle w:val="Heading1"/>
        <w:numPr>
          <w:ilvl w:val="0"/>
          <w:numId w:val="3"/>
        </w:numPr>
        <w:ind w:left="1" w:hanging="3"/>
      </w:pPr>
      <w:r>
        <w:t>Opening of tenders</w:t>
      </w:r>
    </w:p>
    <w:p w14:paraId="73E2352F"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481F2F34" w14:textId="040B1C1C" w:rsidR="005918AE" w:rsidRDefault="008504CB">
      <w:pPr>
        <w:pStyle w:val="Heading2"/>
        <w:keepNext w:val="0"/>
        <w:ind w:left="0" w:hanging="2"/>
        <w:jc w:val="both"/>
        <w:rPr>
          <w:rFonts w:ascii="Times New Roman" w:eastAsia="Times New Roman" w:hAnsi="Times New Roman" w:cs="Times New Roman"/>
          <w:sz w:val="22"/>
          <w:szCs w:val="22"/>
        </w:rPr>
      </w:pPr>
      <w:r w:rsidRPr="007B5F5A">
        <w:rPr>
          <w:rFonts w:ascii="Times New Roman" w:eastAsia="Times New Roman" w:hAnsi="Times New Roman" w:cs="Times New Roman"/>
          <w:sz w:val="22"/>
          <w:szCs w:val="22"/>
        </w:rPr>
        <w:t>19.2</w:t>
      </w:r>
      <w:r w:rsidRPr="007B5F5A">
        <w:rPr>
          <w:rFonts w:ascii="Times New Roman" w:eastAsia="Times New Roman" w:hAnsi="Times New Roman" w:cs="Times New Roman"/>
          <w:sz w:val="22"/>
          <w:szCs w:val="22"/>
        </w:rPr>
        <w:tab/>
        <w:t>The tenders will be opened in public session on 26.11.2021 at 14.00 h at the address: “Prof. D-r</w:t>
      </w:r>
      <w:r>
        <w:rPr>
          <w:rFonts w:ascii="Times New Roman" w:eastAsia="Times New Roman" w:hAnsi="Times New Roman" w:cs="Times New Roman"/>
          <w:sz w:val="22"/>
          <w:szCs w:val="22"/>
        </w:rPr>
        <w:t xml:space="preserve"> Asen Zlatarov” University, 1 Prof. </w:t>
      </w:r>
      <w:r w:rsidR="0071498D">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w:t>
      </w:r>
      <w:r w:rsidR="007B5F5A">
        <w:rPr>
          <w:rFonts w:ascii="Times New Roman" w:eastAsia="Times New Roman" w:hAnsi="Times New Roman" w:cs="Times New Roman"/>
          <w:sz w:val="22"/>
          <w:szCs w:val="22"/>
        </w:rPr>
        <w:t>, Administrative building</w:t>
      </w:r>
      <w:r>
        <w:rPr>
          <w:rFonts w:ascii="Times New Roman" w:eastAsia="Times New Roman" w:hAnsi="Times New Roman" w:cs="Times New Roman"/>
          <w:sz w:val="22"/>
          <w:szCs w:val="22"/>
        </w:rPr>
        <w:t xml:space="preserve"> &gt; by the appointed committee. The committee will draw up minutes of the meeting, which will be available on request. </w:t>
      </w:r>
    </w:p>
    <w:p w14:paraId="6F62C3B7"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AFB3DEA"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53830C5A"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657DCA6F"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25CBFA30" w14:textId="77777777" w:rsidR="005918AE" w:rsidRDefault="008504CB">
      <w:pPr>
        <w:pStyle w:val="Heading2"/>
        <w:keepNext w:val="0"/>
        <w:ind w:left="0" w:hanging="2"/>
        <w:jc w:val="both"/>
        <w:rPr>
          <w:rFonts w:ascii="Times New Roman" w:eastAsia="Times New Roman" w:hAnsi="Times New Roman" w:cs="Times New Roman"/>
        </w:rPr>
      </w:pPr>
      <w:bookmarkStart w:id="28" w:name="_heading=h.3as4poj" w:colFirst="0" w:colLast="0"/>
      <w:bookmarkEnd w:id="28"/>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1D49D290" w14:textId="77777777" w:rsidR="005918AE" w:rsidRDefault="008504CB">
      <w:pPr>
        <w:pStyle w:val="Heading1"/>
        <w:numPr>
          <w:ilvl w:val="0"/>
          <w:numId w:val="3"/>
        </w:numPr>
        <w:ind w:left="1" w:hanging="3"/>
      </w:pPr>
      <w:r>
        <w:t>Evaluation of tenders</w:t>
      </w:r>
    </w:p>
    <w:p w14:paraId="341FB0F6"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3ED48E41" w14:textId="77777777" w:rsidR="005918AE" w:rsidRDefault="008504CB">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B6238FD" w14:textId="77777777" w:rsidR="005918AE" w:rsidRDefault="008504CB">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023138E6"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3560941D" w14:textId="77777777" w:rsidR="005918AE" w:rsidRDefault="008504CB">
      <w:pPr>
        <w:pStyle w:val="Heading2"/>
        <w:ind w:left="0" w:hanging="2"/>
        <w:jc w:val="both"/>
        <w:rPr>
          <w:rFonts w:ascii="Times New Roman" w:eastAsia="Times New Roman" w:hAnsi="Times New Roman" w:cs="Times New Roman"/>
          <w:sz w:val="22"/>
          <w:szCs w:val="22"/>
        </w:rPr>
      </w:pPr>
      <w:bookmarkStart w:id="29" w:name="_heading=h.1pxezwc" w:colFirst="0" w:colLast="0"/>
      <w:bookmarkEnd w:id="29"/>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551EFE18" w14:textId="77777777" w:rsidR="005918AE" w:rsidRDefault="008504CB">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2106BC3B" w14:textId="77777777" w:rsidR="005918AE" w:rsidRDefault="008504CB">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1A6FF149" w14:textId="77777777" w:rsidR="005918AE" w:rsidRDefault="008504CB">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53884CCB" w14:textId="77777777" w:rsidR="005918AE" w:rsidRDefault="008504CB">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2EF6E854"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513BBD86" w14:textId="77777777" w:rsidR="005918AE" w:rsidRDefault="008504CB">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7BE2A3CE" w14:textId="77777777" w:rsidR="005918AE" w:rsidRDefault="008504CB">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40B305C7" w14:textId="77777777" w:rsidR="005918AE" w:rsidRDefault="008504CB">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2EF18B85" w14:textId="77777777" w:rsidR="005918AE" w:rsidRDefault="008504CB">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03823A32" w14:textId="77777777" w:rsidR="005918AE" w:rsidRDefault="008504CB">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35FF5194"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1EE96433" w14:textId="77777777" w:rsidR="005918AE" w:rsidRDefault="008504CB">
      <w:pPr>
        <w:ind w:left="0" w:hanging="2"/>
        <w:jc w:val="both"/>
      </w:pPr>
      <w:r>
        <w:rPr>
          <w:rFonts w:ascii="Times New Roman" w:eastAsia="Times New Roman" w:hAnsi="Times New Roman" w:cs="Times New Roman"/>
          <w:sz w:val="22"/>
          <w:szCs w:val="22"/>
        </w:rPr>
        <w:t>Variant solutions will not be taken into consideration.</w:t>
      </w:r>
    </w:p>
    <w:p w14:paraId="7AB5AC4D" w14:textId="77777777" w:rsidR="005918AE" w:rsidRDefault="008504CB">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269FF385" w14:textId="77777777" w:rsidR="005918AE" w:rsidRDefault="008504CB">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614DFE5F" w14:textId="77777777" w:rsidR="005918AE" w:rsidRDefault="005918AE">
      <w:pPr>
        <w:ind w:left="0" w:hanging="2"/>
        <w:jc w:val="both"/>
        <w:rPr>
          <w:rFonts w:ascii="Times New Roman" w:eastAsia="Times New Roman" w:hAnsi="Times New Roman" w:cs="Times New Roman"/>
          <w:sz w:val="22"/>
          <w:szCs w:val="22"/>
        </w:rPr>
      </w:pPr>
    </w:p>
    <w:p w14:paraId="0824602D" w14:textId="77777777" w:rsidR="005918AE" w:rsidRDefault="008504CB">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768A53C5" w14:textId="77777777" w:rsidR="005918AE" w:rsidRDefault="008504CB">
      <w:pPr>
        <w:ind w:left="0" w:hanging="2"/>
        <w:jc w:val="both"/>
        <w:rPr>
          <w:rFonts w:ascii="Times New Roman" w:eastAsia="Times New Roman" w:hAnsi="Times New Roman" w:cs="Times New Roman"/>
          <w:sz w:val="22"/>
          <w:szCs w:val="22"/>
        </w:rPr>
      </w:pPr>
      <w:bookmarkStart w:id="30" w:name="_heading=h.49x2ik5" w:colFirst="0" w:colLast="0"/>
      <w:bookmarkEnd w:id="30"/>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33BC99F6" w14:textId="77777777" w:rsidR="005918AE" w:rsidRDefault="008504CB" w:rsidP="0071498D">
      <w:pPr>
        <w:pStyle w:val="Heading1"/>
        <w:numPr>
          <w:ilvl w:val="0"/>
          <w:numId w:val="0"/>
        </w:numPr>
        <w:ind w:left="1"/>
      </w:pPr>
      <w:bookmarkStart w:id="31" w:name="_heading=h.2p2csry" w:colFirst="0" w:colLast="0"/>
      <w:bookmarkEnd w:id="31"/>
      <w:r>
        <w:t>22.</w:t>
      </w:r>
      <w:r>
        <w:tab/>
        <w:t>Signature of the contract and performance guarantee</w:t>
      </w:r>
    </w:p>
    <w:p w14:paraId="656B53B2"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6176D1FE" w14:textId="77777777" w:rsidR="005918AE" w:rsidRDefault="008504CB">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2662E08E"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3A4D74EA" w14:textId="77777777" w:rsidR="005918AE" w:rsidRDefault="008504CB">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88AF9DE"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16A090B8"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8DC98DE"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1E15511"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C892D8A" w14:textId="77777777" w:rsidR="005918AE" w:rsidRDefault="008504CB">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25A4E219"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4182A030" w14:textId="77777777" w:rsidR="005918AE" w:rsidRDefault="008504CB">
      <w:pPr>
        <w:ind w:left="0" w:hanging="2"/>
        <w:jc w:val="both"/>
        <w:rPr>
          <w:rFonts w:ascii="Times New Roman" w:eastAsia="Times New Roman" w:hAnsi="Times New Roman" w:cs="Times New Roman"/>
          <w:sz w:val="22"/>
          <w:szCs w:val="22"/>
        </w:rPr>
      </w:pPr>
      <w:bookmarkStart w:id="32" w:name="_heading=h.147n2zr" w:colFirst="0" w:colLast="0"/>
      <w:bookmarkEnd w:id="32"/>
      <w:r w:rsidRPr="007B5F5A">
        <w:rPr>
          <w:rFonts w:ascii="Times New Roman" w:eastAsia="Times New Roman" w:hAnsi="Times New Roman" w:cs="Times New Roman"/>
          <w:sz w:val="22"/>
          <w:szCs w:val="22"/>
        </w:rPr>
        <w:t>22.7</w:t>
      </w:r>
      <w:r w:rsidRPr="007B5F5A">
        <w:rPr>
          <w:rFonts w:ascii="Times New Roman" w:eastAsia="Times New Roman" w:hAnsi="Times New Roman" w:cs="Times New Roman"/>
        </w:rPr>
        <w:tab/>
      </w:r>
      <w:r w:rsidRPr="007B5F5A">
        <w:rPr>
          <w:rFonts w:ascii="Times New Roman" w:eastAsia="Times New Roman" w:hAnsi="Times New Roman" w:cs="Times New Roman"/>
          <w:sz w:val="22"/>
          <w:szCs w:val="22"/>
        </w:rPr>
        <w:t xml:space="preserve">Performance guarantee of 5% of contract amount for any contract above 150000.00 EUR is required. </w:t>
      </w:r>
    </w:p>
    <w:p w14:paraId="4B4839BD" w14:textId="77777777" w:rsidR="005918AE" w:rsidRDefault="008504CB" w:rsidP="0071498D">
      <w:pPr>
        <w:pStyle w:val="Heading1"/>
        <w:numPr>
          <w:ilvl w:val="0"/>
          <w:numId w:val="0"/>
        </w:numPr>
        <w:ind w:left="1"/>
      </w:pPr>
      <w:r>
        <w:t>23.</w:t>
      </w:r>
      <w:r>
        <w:tab/>
        <w:t>Tender guarantee</w:t>
      </w:r>
    </w:p>
    <w:p w14:paraId="2CDBDB82" w14:textId="77777777" w:rsidR="005918AE" w:rsidRDefault="008504CB">
      <w:pPr>
        <w:ind w:left="0" w:hanging="2"/>
        <w:jc w:val="both"/>
        <w:rPr>
          <w:rFonts w:ascii="Times New Roman" w:eastAsia="Times New Roman" w:hAnsi="Times New Roman" w:cs="Times New Roman"/>
          <w:sz w:val="22"/>
          <w:szCs w:val="22"/>
        </w:rPr>
      </w:pPr>
      <w:bookmarkStart w:id="33" w:name="_heading=h.3o7alnk" w:colFirst="0" w:colLast="0"/>
      <w:bookmarkEnd w:id="33"/>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0980C786" w14:textId="77777777" w:rsidR="005918AE" w:rsidRDefault="008504CB" w:rsidP="0071498D">
      <w:pPr>
        <w:pStyle w:val="Heading1"/>
        <w:numPr>
          <w:ilvl w:val="0"/>
          <w:numId w:val="0"/>
        </w:numPr>
        <w:ind w:left="1"/>
      </w:pPr>
      <w:r>
        <w:t>24. Ethics clauses and code of conduct</w:t>
      </w:r>
    </w:p>
    <w:p w14:paraId="2C73031F" w14:textId="77777777" w:rsidR="005918AE" w:rsidRDefault="008504CB">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534B92E1" w14:textId="77777777" w:rsidR="005918AE" w:rsidRDefault="008504CB">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54E9AAE"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0390CFFE" w14:textId="77777777" w:rsidR="005918AE" w:rsidRDefault="008504CB">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5880163" w14:textId="77777777" w:rsidR="005918AE" w:rsidRDefault="008504CB">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2DAA230F" w14:textId="77777777" w:rsidR="005918AE" w:rsidRDefault="008504CB">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730FC618" w14:textId="77777777" w:rsidR="005918AE" w:rsidRDefault="008504CB">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3F2F8A25" w14:textId="77777777" w:rsidR="005918AE" w:rsidRDefault="005918AE">
      <w:pPr>
        <w:keepNext/>
        <w:ind w:left="0" w:hanging="2"/>
        <w:jc w:val="both"/>
        <w:rPr>
          <w:rFonts w:ascii="Times New Roman" w:eastAsia="Times New Roman" w:hAnsi="Times New Roman" w:cs="Times New Roman"/>
          <w:sz w:val="22"/>
          <w:szCs w:val="22"/>
        </w:rPr>
      </w:pPr>
    </w:p>
    <w:p w14:paraId="1DD377FF" w14:textId="77777777" w:rsidR="005918AE" w:rsidRDefault="008504CB">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54AF4136"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w:t>
      </w:r>
      <w:r>
        <w:rPr>
          <w:rFonts w:ascii="Times New Roman" w:eastAsia="Times New Roman" w:hAnsi="Times New Roman" w:cs="Times New Roman"/>
          <w:sz w:val="22"/>
          <w:szCs w:val="22"/>
        </w:rPr>
        <w:lastRenderedPageBreak/>
        <w:t>any person as an inducement or reward for performing or refraining from any act relating to the award of a contract or execution of a contract already concluded with the contracting authority.</w:t>
      </w:r>
    </w:p>
    <w:p w14:paraId="62658AB5" w14:textId="77777777" w:rsidR="005918AE" w:rsidRDefault="008504CB">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6C8736A4"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A481935"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AFBC1D2" w14:textId="77777777" w:rsidR="005918AE" w:rsidRDefault="008504CB">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07477EA4"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5CD21BE3" w14:textId="77777777" w:rsidR="005918AE" w:rsidRDefault="005918AE">
      <w:pPr>
        <w:ind w:left="0" w:hanging="2"/>
        <w:jc w:val="both"/>
        <w:rPr>
          <w:rFonts w:ascii="Times New Roman" w:eastAsia="Times New Roman" w:hAnsi="Times New Roman" w:cs="Times New Roman"/>
          <w:sz w:val="22"/>
          <w:szCs w:val="22"/>
        </w:rPr>
      </w:pPr>
      <w:bookmarkStart w:id="34" w:name="_heading=h.23ckvvd" w:colFirst="0" w:colLast="0"/>
      <w:bookmarkEnd w:id="34"/>
    </w:p>
    <w:p w14:paraId="0384CA28" w14:textId="77777777" w:rsidR="005918AE" w:rsidRDefault="008504CB" w:rsidP="0071498D">
      <w:pPr>
        <w:pStyle w:val="Heading1"/>
        <w:numPr>
          <w:ilvl w:val="0"/>
          <w:numId w:val="0"/>
        </w:numPr>
        <w:ind w:left="1"/>
      </w:pPr>
      <w:r>
        <w:t>25.</w:t>
      </w:r>
      <w:r>
        <w:tab/>
        <w:t>Cancellation of the tender procedure</w:t>
      </w:r>
    </w:p>
    <w:p w14:paraId="184C0938"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380A7506" w14:textId="77777777" w:rsidR="005918AE" w:rsidRDefault="008504CB">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04382C31" w14:textId="77777777" w:rsidR="005918AE" w:rsidRDefault="008504CB">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7A041270" w14:textId="77777777" w:rsidR="005918AE" w:rsidRDefault="008504CB">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09444D33" w14:textId="77777777" w:rsidR="005918AE" w:rsidRDefault="008504CB">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1C525068" w14:textId="77777777" w:rsidR="005918AE" w:rsidRDefault="008504CB">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1CE36612" w14:textId="77777777" w:rsidR="005918AE" w:rsidRDefault="008504CB">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5ACF9488" w14:textId="77777777" w:rsidR="005918AE" w:rsidRDefault="008504CB">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88216FF" w14:textId="77777777" w:rsidR="005918AE" w:rsidRDefault="008504CB">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61B91C8F" w14:textId="77777777" w:rsidR="005918AE" w:rsidRDefault="008504CB" w:rsidP="0071498D">
      <w:pPr>
        <w:pStyle w:val="Heading1"/>
        <w:numPr>
          <w:ilvl w:val="0"/>
          <w:numId w:val="0"/>
        </w:numPr>
        <w:ind w:left="1"/>
      </w:pPr>
      <w:r>
        <w:t xml:space="preserve">26. </w:t>
      </w:r>
      <w:r>
        <w:tab/>
        <w:t>Appeals</w:t>
      </w:r>
    </w:p>
    <w:p w14:paraId="158997AF" w14:textId="77777777" w:rsidR="005918AE" w:rsidRDefault="008504CB">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5A8CC01B" w14:textId="77777777" w:rsidR="005918AE" w:rsidRDefault="008504CB">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64B2BA1A" w14:textId="77777777" w:rsidR="005918AE" w:rsidRDefault="008504CB">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79A5FAC" w14:textId="77777777" w:rsidR="005918AE" w:rsidRDefault="008504CB" w:rsidP="0071498D">
      <w:pPr>
        <w:pStyle w:val="Heading1"/>
        <w:numPr>
          <w:ilvl w:val="0"/>
          <w:numId w:val="0"/>
        </w:numPr>
        <w:ind w:left="1"/>
        <w:rPr>
          <w:sz w:val="22"/>
          <w:szCs w:val="22"/>
        </w:rPr>
      </w:pPr>
      <w:r>
        <w:lastRenderedPageBreak/>
        <w:t>28.</w:t>
      </w:r>
      <w:r>
        <w:tab/>
        <w:t>Early detection and exclusion system</w:t>
      </w:r>
    </w:p>
    <w:p w14:paraId="3855165D" w14:textId="77777777" w:rsidR="005918AE" w:rsidRDefault="008504CB">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5918AE">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3EDDC" w14:textId="77777777" w:rsidR="00140BE0" w:rsidRDefault="00140BE0">
      <w:pPr>
        <w:spacing w:before="0" w:after="0" w:line="240" w:lineRule="auto"/>
        <w:ind w:left="0" w:hanging="2"/>
      </w:pPr>
      <w:r>
        <w:separator/>
      </w:r>
    </w:p>
  </w:endnote>
  <w:endnote w:type="continuationSeparator" w:id="0">
    <w:p w14:paraId="6372391C" w14:textId="77777777" w:rsidR="00140BE0" w:rsidRDefault="00140BE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1AE1A" w14:textId="77777777" w:rsidR="005918AE" w:rsidRDefault="008504CB">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8B12A90" w14:textId="77777777" w:rsidR="005918AE" w:rsidRDefault="005918AE">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8E032" w14:textId="77777777" w:rsidR="005918AE" w:rsidRDefault="008504CB">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B1FD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B1FDA">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DEDA1FA" w14:textId="77777777" w:rsidR="005918AE" w:rsidRDefault="008504CB">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426CF" w14:textId="77777777" w:rsidR="005918AE" w:rsidRDefault="008504CB">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EC18001" w14:textId="77777777" w:rsidR="005918AE" w:rsidRDefault="008504CB">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29E49" w14:textId="77777777" w:rsidR="00140BE0" w:rsidRDefault="00140BE0">
      <w:pPr>
        <w:spacing w:before="0" w:after="0" w:line="240" w:lineRule="auto"/>
        <w:ind w:left="0" w:hanging="2"/>
      </w:pPr>
      <w:r>
        <w:separator/>
      </w:r>
    </w:p>
  </w:footnote>
  <w:footnote w:type="continuationSeparator" w:id="0">
    <w:p w14:paraId="027E0C30" w14:textId="77777777" w:rsidR="00140BE0" w:rsidRDefault="00140BE0">
      <w:pPr>
        <w:spacing w:before="0" w:after="0" w:line="240" w:lineRule="auto"/>
        <w:ind w:left="0" w:hanging="2"/>
      </w:pPr>
      <w:r>
        <w:continuationSeparator/>
      </w:r>
    </w:p>
  </w:footnote>
  <w:footnote w:id="1">
    <w:p w14:paraId="583B22EF" w14:textId="77777777" w:rsidR="005918AE" w:rsidRDefault="008504CB">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6FB7FD18" w14:textId="77777777" w:rsidR="005918AE" w:rsidRDefault="008504CB">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00756C7F" w14:textId="77777777" w:rsidR="005918AE" w:rsidRDefault="008504CB">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73FAF"/>
    <w:multiLevelType w:val="multilevel"/>
    <w:tmpl w:val="B05E7BFE"/>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0562A6"/>
    <w:multiLevelType w:val="multilevel"/>
    <w:tmpl w:val="6A522CD6"/>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42405BC0"/>
    <w:multiLevelType w:val="multilevel"/>
    <w:tmpl w:val="371EDE54"/>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7B525B66"/>
    <w:multiLevelType w:val="multilevel"/>
    <w:tmpl w:val="49D85BD2"/>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AE"/>
    <w:rsid w:val="00140BE0"/>
    <w:rsid w:val="004863B1"/>
    <w:rsid w:val="005918AE"/>
    <w:rsid w:val="005B1FDA"/>
    <w:rsid w:val="0071498D"/>
    <w:rsid w:val="00736844"/>
    <w:rsid w:val="007B5F5A"/>
    <w:rsid w:val="008504CB"/>
    <w:rsid w:val="008B1E02"/>
    <w:rsid w:val="00963E89"/>
    <w:rsid w:val="00A24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2009D"/>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character" w:customStyle="1" w:styleId="il">
    <w:name w:val="il"/>
    <w:basedOn w:val="DefaultParagraphFont"/>
    <w:rsid w:val="007B5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tXTFjvjmh7/TvFI0QgcZI9/Sbw==">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6210</Words>
  <Characters>35398</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6</cp:revision>
  <dcterms:created xsi:type="dcterms:W3CDTF">2021-08-28T20:14:00Z</dcterms:created>
  <dcterms:modified xsi:type="dcterms:W3CDTF">2021-09-08T11:15:00Z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