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AE7FA4" w14:textId="77777777" w:rsidR="00D549D1" w:rsidRDefault="00D549D1">
      <w:pPr>
        <w:tabs>
          <w:tab w:val="left" w:pos="426"/>
        </w:tabs>
        <w:jc w:val="center"/>
        <w:rPr>
          <w:sz w:val="20"/>
        </w:rPr>
      </w:pPr>
    </w:p>
    <w:p w14:paraId="1563AA45" w14:textId="77777777" w:rsidR="00D549D1" w:rsidRDefault="002106F0">
      <w:pPr>
        <w:jc w:val="center"/>
        <w:rPr>
          <w:sz w:val="20"/>
        </w:rPr>
      </w:pPr>
      <w:r>
        <w:rPr>
          <w:sz w:val="20"/>
        </w:rPr>
        <w:br/>
      </w:r>
    </w:p>
    <w:p w14:paraId="2B87DDED" w14:textId="77777777" w:rsidR="00D549D1" w:rsidRDefault="002106F0">
      <w:pPr>
        <w:jc w:val="center"/>
        <w:rPr>
          <w:b/>
          <w:sz w:val="28"/>
          <w:szCs w:val="28"/>
        </w:rPr>
      </w:pPr>
      <w:r>
        <w:rPr>
          <w:b/>
          <w:sz w:val="28"/>
          <w:szCs w:val="28"/>
        </w:rPr>
        <w:t>Additional information about the Contract Notice</w:t>
      </w:r>
    </w:p>
    <w:p w14:paraId="1659A42B" w14:textId="77777777" w:rsidR="00D549D1" w:rsidRDefault="00D549D1">
      <w:pPr>
        <w:jc w:val="center"/>
        <w:rPr>
          <w:b/>
          <w:sz w:val="28"/>
          <w:szCs w:val="28"/>
        </w:rPr>
      </w:pPr>
    </w:p>
    <w:p w14:paraId="07FBBBA6" w14:textId="77777777" w:rsidR="00D549D1" w:rsidRDefault="002106F0">
      <w:pPr>
        <w:spacing w:after="240"/>
        <w:jc w:val="center"/>
        <w:rPr>
          <w:b/>
          <w:sz w:val="28"/>
          <w:szCs w:val="28"/>
        </w:rPr>
      </w:pPr>
      <w:r>
        <w:rPr>
          <w:b/>
          <w:sz w:val="28"/>
          <w:szCs w:val="28"/>
        </w:rPr>
        <w:t>“SUPPLY OF ITC EQUIPMENT FOR THE PURPOSES AND FUNCTIONING OF THE SCIENTIFIC LABORATORIES OF THE BLUE GROWTH RESEARCH CENTRE AT “PROF.  D-R ASEN ZLATAROV” UNIVERSITY OF BURGAS”</w:t>
      </w:r>
    </w:p>
    <w:p w14:paraId="5F5A815B" w14:textId="77777777" w:rsidR="00D549D1" w:rsidRDefault="00D549D1">
      <w:pPr>
        <w:spacing w:after="240"/>
        <w:jc w:val="center"/>
        <w:rPr>
          <w:b/>
          <w:sz w:val="28"/>
          <w:szCs w:val="28"/>
        </w:rPr>
      </w:pPr>
    </w:p>
    <w:p w14:paraId="2E2166C9" w14:textId="77777777" w:rsidR="00D549D1" w:rsidRDefault="002106F0">
      <w:pPr>
        <w:spacing w:after="240"/>
        <w:jc w:val="center"/>
        <w:rPr>
          <w:sz w:val="28"/>
          <w:szCs w:val="28"/>
        </w:rPr>
      </w:pPr>
      <w:r>
        <w:rPr>
          <w:b/>
          <w:sz w:val="28"/>
          <w:szCs w:val="28"/>
        </w:rPr>
        <w:t>&lt;</w:t>
      </w:r>
      <w:r>
        <w:t xml:space="preserve"> </w:t>
      </w:r>
      <w:r>
        <w:rPr>
          <w:b/>
          <w:sz w:val="28"/>
          <w:szCs w:val="28"/>
        </w:rPr>
        <w:t>Burgas, Burgas District, Bulgaria&gt;</w:t>
      </w:r>
    </w:p>
    <w:p w14:paraId="527107FB" w14:textId="77777777" w:rsidR="00D549D1" w:rsidRDefault="002106F0">
      <w:pPr>
        <w:numPr>
          <w:ilvl w:val="0"/>
          <w:numId w:val="1"/>
        </w:numPr>
        <w:pBdr>
          <w:top w:val="nil"/>
          <w:left w:val="nil"/>
          <w:bottom w:val="nil"/>
          <w:right w:val="nil"/>
          <w:between w:val="nil"/>
        </w:pBdr>
        <w:ind w:left="426" w:hanging="426"/>
        <w:rPr>
          <w:color w:val="000000"/>
          <w:szCs w:val="24"/>
        </w:rPr>
      </w:pPr>
      <w:r>
        <w:rPr>
          <w:b/>
          <w:color w:val="000000"/>
          <w:sz w:val="22"/>
          <w:szCs w:val="22"/>
        </w:rPr>
        <w:t>Nature of contract</w:t>
      </w:r>
    </w:p>
    <w:p w14:paraId="554C15A7" w14:textId="77777777" w:rsidR="00D549D1" w:rsidRDefault="002106F0">
      <w:pPr>
        <w:ind w:firstLine="360"/>
        <w:rPr>
          <w:sz w:val="22"/>
          <w:szCs w:val="22"/>
        </w:rPr>
      </w:pPr>
      <w:r>
        <w:t xml:space="preserve"> U</w:t>
      </w:r>
      <w:r>
        <w:rPr>
          <w:sz w:val="22"/>
          <w:szCs w:val="22"/>
        </w:rPr>
        <w:t>nit price</w:t>
      </w:r>
    </w:p>
    <w:p w14:paraId="62E78FF7"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Programme title</w:t>
      </w:r>
    </w:p>
    <w:p w14:paraId="688AF0F0" w14:textId="77777777" w:rsidR="00D549D1" w:rsidRDefault="002106F0" w:rsidP="00281063">
      <w:pPr>
        <w:pBdr>
          <w:top w:val="nil"/>
          <w:left w:val="nil"/>
          <w:bottom w:val="nil"/>
          <w:right w:val="nil"/>
          <w:between w:val="nil"/>
        </w:pBdr>
        <w:ind w:left="426"/>
        <w:rPr>
          <w:b/>
          <w:color w:val="000000"/>
          <w:sz w:val="22"/>
          <w:szCs w:val="22"/>
        </w:rPr>
      </w:pPr>
      <w:r>
        <w:rPr>
          <w:color w:val="000000"/>
          <w:szCs w:val="24"/>
        </w:rPr>
        <w:t>Interreg-IPA CBC Programme Bulgaria-Turkey Programme 2014-2020, CCI No 2014TC16I5CB005</w:t>
      </w:r>
    </w:p>
    <w:p w14:paraId="354A0AD8"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Financing</w:t>
      </w:r>
    </w:p>
    <w:p w14:paraId="748ECA45" w14:textId="701D2A8A" w:rsidR="00D549D1" w:rsidRPr="00CD4A03" w:rsidRDefault="002106F0" w:rsidP="00281063">
      <w:pPr>
        <w:pBdr>
          <w:top w:val="nil"/>
          <w:left w:val="nil"/>
          <w:bottom w:val="nil"/>
          <w:right w:val="nil"/>
          <w:between w:val="nil"/>
        </w:pBdr>
        <w:ind w:left="426"/>
        <w:rPr>
          <w:b/>
          <w:color w:val="000000"/>
          <w:sz w:val="22"/>
          <w:szCs w:val="22"/>
          <w:lang w:val="bg-BG"/>
        </w:rPr>
      </w:pPr>
      <w:r>
        <w:rPr>
          <w:color w:val="000000"/>
          <w:sz w:val="22"/>
          <w:szCs w:val="22"/>
        </w:rPr>
        <w:t>Interreg-IPA CBC Programme Bulgaria-Turkey Programme 2014-2020, CCI No 2014TC16I5CB005, Restricted Call for Strategic Project Proposal No 2014TC16I5CB005 - 2020 -3</w:t>
      </w:r>
      <w:r w:rsidR="00281063">
        <w:rPr>
          <w:color w:val="000000"/>
          <w:sz w:val="22"/>
          <w:szCs w:val="22"/>
        </w:rPr>
        <w:t>, Subsidy contract No</w:t>
      </w:r>
      <w:r w:rsidR="00281063">
        <w:rPr>
          <w:color w:val="000000"/>
          <w:sz w:val="22"/>
          <w:szCs w:val="22"/>
          <w:lang w:val="bg-BG"/>
        </w:rPr>
        <w:t xml:space="preserve"> РД-02-29-170/09.10.2021</w:t>
      </w:r>
    </w:p>
    <w:p w14:paraId="24F2B60C"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Eligibility and rules of origin</w:t>
      </w:r>
    </w:p>
    <w:p w14:paraId="0E3EC34D" w14:textId="77777777" w:rsidR="00D549D1" w:rsidRDefault="002106F0">
      <w:pPr>
        <w:widowControl/>
        <w:spacing w:before="0" w:after="120"/>
        <w:ind w:left="426"/>
        <w:jc w:val="both"/>
        <w:rPr>
          <w:sz w:val="22"/>
          <w:szCs w:val="22"/>
        </w:rPr>
      </w:pPr>
      <w:r>
        <w:rPr>
          <w:sz w:val="22"/>
          <w:szCs w:val="22"/>
        </w:rPr>
        <w:t xml:space="preserve">All supplies under this contract may </w:t>
      </w:r>
      <w:r>
        <w:t>originate from any country.</w:t>
      </w:r>
    </w:p>
    <w:p w14:paraId="18D72BC1"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 xml:space="preserve">Candidature </w:t>
      </w:r>
    </w:p>
    <w:p w14:paraId="11B6493B" w14:textId="77777777" w:rsidR="00D549D1" w:rsidRDefault="002106F0">
      <w:pPr>
        <w:pBdr>
          <w:top w:val="nil"/>
          <w:left w:val="nil"/>
          <w:bottom w:val="nil"/>
          <w:right w:val="nil"/>
          <w:between w:val="nil"/>
        </w:pBdr>
        <w:ind w:left="426"/>
        <w:jc w:val="both"/>
        <w:rPr>
          <w:color w:val="000000"/>
          <w:sz w:val="22"/>
          <w:szCs w:val="22"/>
        </w:rPr>
      </w:pPr>
      <w:r>
        <w:rPr>
          <w:color w:val="000000"/>
          <w:sz w:val="22"/>
          <w:szCs w:val="22"/>
        </w:rPr>
        <w:t>All eligible natural and legal persons (as per item 4 above)</w:t>
      </w:r>
      <w:r>
        <w:rPr>
          <w:b/>
          <w:color w:val="000000"/>
          <w:sz w:val="22"/>
          <w:szCs w:val="22"/>
        </w:rPr>
        <w:t xml:space="preserve"> </w:t>
      </w:r>
      <w:r>
        <w:rPr>
          <w:color w:val="000000"/>
          <w:sz w:val="22"/>
          <w:szCs w:val="22"/>
        </w:rPr>
        <w:t>or groupings of such persons (consortia) may apply.</w:t>
      </w:r>
    </w:p>
    <w:p w14:paraId="1924262A" w14:textId="77777777" w:rsidR="00D549D1" w:rsidRDefault="002106F0">
      <w:pPr>
        <w:pBdr>
          <w:top w:val="nil"/>
          <w:left w:val="nil"/>
          <w:bottom w:val="nil"/>
          <w:right w:val="nil"/>
          <w:between w:val="nil"/>
        </w:pBdr>
        <w:ind w:left="426"/>
        <w:jc w:val="both"/>
        <w:rPr>
          <w:color w:val="000000"/>
          <w:sz w:val="22"/>
          <w:szCs w:val="22"/>
        </w:rPr>
      </w:pPr>
      <w:r>
        <w:rPr>
          <w:color w:val="000000"/>
          <w:sz w:val="22"/>
          <w:szCs w:val="22"/>
        </w:rPr>
        <w:t xml:space="preserve">A consortium may be a permanent, </w:t>
      </w:r>
      <w:proofErr w:type="gramStart"/>
      <w:r>
        <w:rPr>
          <w:color w:val="000000"/>
          <w:sz w:val="22"/>
          <w:szCs w:val="22"/>
        </w:rPr>
        <w:t>legally-established</w:t>
      </w:r>
      <w:proofErr w:type="gramEnd"/>
      <w:r>
        <w:rPr>
          <w:color w:val="000000"/>
          <w:sz w:val="22"/>
          <w:szCs w:val="22"/>
        </w:rPr>
        <w:t xml:space="preserve"> grouping or a grouping which has been constituted informally for a specific tender procedure. All partners of a consortium (i.e., the leader and all other partners) are jointly and severally liable to the contracting authority.</w:t>
      </w:r>
    </w:p>
    <w:p w14:paraId="1AD8E8E9" w14:textId="77777777" w:rsidR="00D549D1" w:rsidRDefault="002106F0">
      <w:pPr>
        <w:pBdr>
          <w:top w:val="nil"/>
          <w:left w:val="nil"/>
          <w:bottom w:val="nil"/>
          <w:right w:val="nil"/>
          <w:between w:val="nil"/>
        </w:pBdr>
        <w:ind w:left="426"/>
        <w:jc w:val="both"/>
        <w:rPr>
          <w:color w:val="000000"/>
          <w:sz w:val="22"/>
          <w:szCs w:val="22"/>
        </w:rPr>
      </w:pPr>
      <w:r>
        <w:rPr>
          <w:color w:val="000000"/>
          <w:sz w:val="22"/>
          <w:szCs w:val="22"/>
        </w:rPr>
        <w:t xml:space="preserve">The participation of an ineligible natural or legal person will result in the automatic exclusion of that person. </w:t>
      </w:r>
      <w:proofErr w:type="gramStart"/>
      <w:r>
        <w:rPr>
          <w:color w:val="000000"/>
          <w:sz w:val="22"/>
          <w:szCs w:val="22"/>
        </w:rPr>
        <w:t>In particular, if</w:t>
      </w:r>
      <w:proofErr w:type="gramEnd"/>
      <w:r>
        <w:rPr>
          <w:color w:val="000000"/>
          <w:sz w:val="22"/>
          <w:szCs w:val="22"/>
        </w:rPr>
        <w:t xml:space="preserve"> that ineligible person belongs to a consortium, the whole consortium will be excluded. </w:t>
      </w:r>
    </w:p>
    <w:p w14:paraId="0E6BE958"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Number of applications or tenders</w:t>
      </w:r>
    </w:p>
    <w:p w14:paraId="5CE39F5F" w14:textId="77777777" w:rsidR="00D549D1" w:rsidRDefault="002106F0">
      <w:pPr>
        <w:pBdr>
          <w:top w:val="nil"/>
          <w:left w:val="nil"/>
          <w:bottom w:val="nil"/>
          <w:right w:val="nil"/>
          <w:between w:val="nil"/>
        </w:pBdr>
        <w:ind w:left="426"/>
        <w:jc w:val="both"/>
        <w:rPr>
          <w:color w:val="000000"/>
          <w:sz w:val="22"/>
          <w:szCs w:val="22"/>
        </w:rPr>
      </w:pPr>
      <w:r>
        <w:rPr>
          <w:color w:val="000000"/>
          <w:sz w:val="22"/>
          <w:szCs w:val="22"/>
        </w:rPr>
        <w:t xml:space="preserve">No more than one application or tender can be submitted by a natural or legal person whatever the form of participation (as an individual legal entity or as leader or partner of a consortium submitting an application/tender). </w:t>
      </w:r>
      <w:proofErr w:type="gramStart"/>
      <w:r>
        <w:rPr>
          <w:color w:val="000000"/>
          <w:sz w:val="22"/>
          <w:szCs w:val="22"/>
        </w:rPr>
        <w:t>In the event that</w:t>
      </w:r>
      <w:proofErr w:type="gramEnd"/>
      <w:r>
        <w:rPr>
          <w:color w:val="000000"/>
          <w:sz w:val="22"/>
          <w:szCs w:val="22"/>
        </w:rPr>
        <w:t xml:space="preserve"> a natural or legal person submits more than one application or tender, all applications or tenders in which that person has participated will be excluded. </w:t>
      </w:r>
    </w:p>
    <w:p w14:paraId="2365E784" w14:textId="77777777" w:rsidR="00D549D1" w:rsidRDefault="002106F0">
      <w:pPr>
        <w:pBdr>
          <w:top w:val="nil"/>
          <w:left w:val="nil"/>
          <w:bottom w:val="nil"/>
          <w:right w:val="nil"/>
          <w:between w:val="nil"/>
        </w:pBdr>
        <w:ind w:left="426" w:right="-48"/>
        <w:jc w:val="both"/>
        <w:rPr>
          <w:color w:val="000000"/>
          <w:sz w:val="22"/>
          <w:szCs w:val="22"/>
        </w:rPr>
      </w:pPr>
      <w:r>
        <w:rPr>
          <w:color w:val="000000"/>
          <w:sz w:val="22"/>
          <w:szCs w:val="22"/>
        </w:rPr>
        <w:t>In case of lots, the candidates or tenderers may submit only one application or tender per lot. Contracts will be awarded lot by lot and each lot will form a separate contract.</w:t>
      </w:r>
    </w:p>
    <w:p w14:paraId="176F6AED" w14:textId="77777777" w:rsidR="00D549D1" w:rsidRDefault="002106F0">
      <w:pPr>
        <w:pBdr>
          <w:top w:val="nil"/>
          <w:left w:val="nil"/>
          <w:bottom w:val="nil"/>
          <w:right w:val="nil"/>
          <w:between w:val="nil"/>
        </w:pBdr>
        <w:ind w:left="426" w:right="-48"/>
        <w:jc w:val="both"/>
        <w:rPr>
          <w:color w:val="000000"/>
          <w:sz w:val="22"/>
          <w:szCs w:val="22"/>
        </w:rPr>
      </w:pPr>
      <w:r>
        <w:rPr>
          <w:color w:val="000000"/>
          <w:sz w:val="22"/>
          <w:szCs w:val="22"/>
        </w:rPr>
        <w:t xml:space="preserve">Tenders for parts of a lot will not be considered. Tenderers may not submit a tender for a variant solution in addition to their tender for the works or supplies required in the tender dossier. </w:t>
      </w:r>
    </w:p>
    <w:p w14:paraId="2865D3E0" w14:textId="77777777" w:rsidR="00D549D1" w:rsidRDefault="002106F0">
      <w:pPr>
        <w:pBdr>
          <w:top w:val="nil"/>
          <w:left w:val="nil"/>
          <w:bottom w:val="nil"/>
          <w:right w:val="nil"/>
          <w:between w:val="nil"/>
        </w:pBdr>
        <w:ind w:left="426" w:right="-48"/>
        <w:jc w:val="both"/>
        <w:rPr>
          <w:color w:val="000000"/>
          <w:sz w:val="22"/>
          <w:szCs w:val="22"/>
        </w:rPr>
      </w:pPr>
      <w:r>
        <w:rPr>
          <w:color w:val="000000"/>
          <w:sz w:val="22"/>
          <w:szCs w:val="22"/>
        </w:rPr>
        <w:t xml:space="preserve">Any tenderer may state in its tender that it would offer a discount </w:t>
      </w:r>
      <w:proofErr w:type="gramStart"/>
      <w:r>
        <w:rPr>
          <w:color w:val="000000"/>
          <w:sz w:val="22"/>
          <w:szCs w:val="22"/>
        </w:rPr>
        <w:t>in the event that</w:t>
      </w:r>
      <w:proofErr w:type="gramEnd"/>
      <w:r>
        <w:rPr>
          <w:color w:val="000000"/>
          <w:sz w:val="22"/>
          <w:szCs w:val="22"/>
        </w:rPr>
        <w:t xml:space="preserve"> its tender is </w:t>
      </w:r>
      <w:r>
        <w:rPr>
          <w:color w:val="000000"/>
          <w:sz w:val="22"/>
          <w:szCs w:val="22"/>
        </w:rPr>
        <w:lastRenderedPageBreak/>
        <w:t>accepted for more than one lot.</w:t>
      </w:r>
    </w:p>
    <w:p w14:paraId="657E00AE" w14:textId="77777777" w:rsidR="00D549D1" w:rsidRDefault="002106F0">
      <w:pPr>
        <w:numPr>
          <w:ilvl w:val="0"/>
          <w:numId w:val="1"/>
        </w:numPr>
        <w:pBdr>
          <w:top w:val="nil"/>
          <w:left w:val="nil"/>
          <w:bottom w:val="nil"/>
          <w:right w:val="nil"/>
          <w:between w:val="nil"/>
        </w:pBdr>
        <w:ind w:left="426" w:right="-48" w:hanging="426"/>
        <w:rPr>
          <w:b/>
          <w:color w:val="000000"/>
          <w:sz w:val="22"/>
          <w:szCs w:val="22"/>
        </w:rPr>
      </w:pPr>
      <w:r>
        <w:rPr>
          <w:b/>
          <w:color w:val="000000"/>
          <w:sz w:val="22"/>
          <w:szCs w:val="22"/>
        </w:rPr>
        <w:t>Tender guarantee</w:t>
      </w:r>
    </w:p>
    <w:p w14:paraId="2DECF7EA" w14:textId="77777777" w:rsidR="00D549D1" w:rsidRDefault="002106F0">
      <w:pPr>
        <w:pBdr>
          <w:top w:val="nil"/>
          <w:left w:val="nil"/>
          <w:bottom w:val="nil"/>
          <w:right w:val="nil"/>
          <w:between w:val="nil"/>
        </w:pBdr>
        <w:ind w:left="426" w:right="-48"/>
        <w:jc w:val="both"/>
        <w:rPr>
          <w:color w:val="000000"/>
          <w:sz w:val="22"/>
          <w:szCs w:val="22"/>
        </w:rPr>
      </w:pPr>
      <w:r>
        <w:rPr>
          <w:color w:val="000000"/>
          <w:sz w:val="22"/>
          <w:szCs w:val="22"/>
        </w:rPr>
        <w:t>No tender guarantee is required.</w:t>
      </w:r>
    </w:p>
    <w:p w14:paraId="76EFAAA4"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Performance guarantee</w:t>
      </w:r>
    </w:p>
    <w:p w14:paraId="63723F3A" w14:textId="77777777" w:rsidR="00D549D1" w:rsidRDefault="002106F0">
      <w:pPr>
        <w:pBdr>
          <w:top w:val="nil"/>
          <w:left w:val="nil"/>
          <w:bottom w:val="nil"/>
          <w:right w:val="nil"/>
          <w:between w:val="nil"/>
        </w:pBdr>
        <w:ind w:left="426"/>
        <w:jc w:val="both"/>
        <w:rPr>
          <w:b/>
          <w:color w:val="000000"/>
          <w:sz w:val="22"/>
          <w:szCs w:val="22"/>
        </w:rPr>
      </w:pPr>
      <w:r>
        <w:rPr>
          <w:color w:val="000000"/>
          <w:sz w:val="22"/>
          <w:szCs w:val="22"/>
        </w:rPr>
        <w:t>No performance guarantee required.</w:t>
      </w:r>
    </w:p>
    <w:p w14:paraId="30F07268"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Information meeting and/or site visit</w:t>
      </w:r>
    </w:p>
    <w:p w14:paraId="1361CD8F" w14:textId="77777777" w:rsidR="00D549D1" w:rsidRDefault="002106F0">
      <w:pPr>
        <w:pBdr>
          <w:top w:val="nil"/>
          <w:left w:val="nil"/>
          <w:bottom w:val="nil"/>
          <w:right w:val="nil"/>
          <w:between w:val="nil"/>
        </w:pBdr>
        <w:ind w:left="426" w:right="360"/>
        <w:rPr>
          <w:color w:val="000000"/>
          <w:sz w:val="22"/>
          <w:szCs w:val="22"/>
        </w:rPr>
      </w:pPr>
      <w:r>
        <w:rPr>
          <w:color w:val="000000"/>
          <w:sz w:val="22"/>
          <w:szCs w:val="22"/>
        </w:rPr>
        <w:t>No information meeting is planned</w:t>
      </w:r>
    </w:p>
    <w:p w14:paraId="2A17AF42" w14:textId="77777777" w:rsidR="00D549D1" w:rsidRDefault="002106F0">
      <w:pPr>
        <w:numPr>
          <w:ilvl w:val="0"/>
          <w:numId w:val="1"/>
        </w:numPr>
        <w:pBdr>
          <w:top w:val="nil"/>
          <w:left w:val="nil"/>
          <w:bottom w:val="nil"/>
          <w:right w:val="nil"/>
          <w:between w:val="nil"/>
        </w:pBdr>
        <w:ind w:left="426" w:hanging="426"/>
        <w:jc w:val="both"/>
        <w:rPr>
          <w:b/>
          <w:color w:val="000000"/>
          <w:sz w:val="22"/>
          <w:szCs w:val="22"/>
        </w:rPr>
      </w:pPr>
      <w:r>
        <w:rPr>
          <w:b/>
          <w:color w:val="000000"/>
          <w:sz w:val="22"/>
          <w:szCs w:val="22"/>
        </w:rPr>
        <w:t>Tender validity</w:t>
      </w:r>
    </w:p>
    <w:p w14:paraId="69AB3551" w14:textId="6FEE540F" w:rsidR="00D549D1" w:rsidRDefault="002106F0">
      <w:pPr>
        <w:pBdr>
          <w:top w:val="nil"/>
          <w:left w:val="nil"/>
          <w:bottom w:val="nil"/>
          <w:right w:val="nil"/>
          <w:between w:val="nil"/>
        </w:pBdr>
        <w:ind w:left="426"/>
        <w:jc w:val="both"/>
        <w:rPr>
          <w:color w:val="000000"/>
          <w:sz w:val="22"/>
          <w:szCs w:val="22"/>
        </w:rPr>
      </w:pPr>
      <w:r>
        <w:rPr>
          <w:color w:val="000000"/>
          <w:sz w:val="22"/>
          <w:szCs w:val="22"/>
        </w:rPr>
        <w:t>Tenders must remain valid for a period of 3 months after the deadline for submission of tenders. In exceptional circumstances, the contracting authority may, before the validity period expires, request that tenderers extend the validity of tenders for a specific period.</w:t>
      </w:r>
    </w:p>
    <w:p w14:paraId="6829430F"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 xml:space="preserve">Shortlist alliances prohibited – Not Applicable </w:t>
      </w:r>
    </w:p>
    <w:p w14:paraId="11FE801A"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Grounds for exclusion</w:t>
      </w:r>
    </w:p>
    <w:p w14:paraId="6B851D44" w14:textId="77777777" w:rsidR="00D549D1" w:rsidRDefault="002106F0">
      <w:pPr>
        <w:ind w:left="426"/>
        <w:jc w:val="both"/>
        <w:rPr>
          <w:b/>
          <w:sz w:val="22"/>
          <w:szCs w:val="22"/>
        </w:rPr>
      </w:pPr>
      <w:r>
        <w:rPr>
          <w:sz w:val="22"/>
          <w:szCs w:val="22"/>
        </w:rPr>
        <w:t xml:space="preserve">Candidates or tenderers must submit a signed declaration, included in the application form or tender form, to the effect that they are not in any of the situations listed in Section 2.6.10.1 of the </w:t>
      </w:r>
      <w:r>
        <w:rPr>
          <w:b/>
          <w:sz w:val="22"/>
          <w:szCs w:val="22"/>
        </w:rPr>
        <w:t xml:space="preserve">practical guide (PRAG). </w:t>
      </w:r>
      <w:r>
        <w:rPr>
          <w:sz w:val="22"/>
          <w:szCs w:val="22"/>
        </w:rPr>
        <w:t>Where the candidate or tenderer intends to rely on capacity providing entities or subcontractor(s), he/she must provide the same declaration signed by this/these entity(ies).</w:t>
      </w:r>
    </w:p>
    <w:p w14:paraId="6CC09FE7" w14:textId="77777777" w:rsidR="00D549D1" w:rsidRDefault="002106F0">
      <w:pPr>
        <w:pBdr>
          <w:top w:val="nil"/>
          <w:left w:val="nil"/>
          <w:bottom w:val="nil"/>
          <w:right w:val="nil"/>
          <w:between w:val="nil"/>
        </w:pBdr>
        <w:ind w:left="426" w:right="26"/>
        <w:jc w:val="both"/>
        <w:rPr>
          <w:color w:val="000000"/>
          <w:sz w:val="22"/>
          <w:szCs w:val="22"/>
        </w:rPr>
      </w:pPr>
      <w:r>
        <w:rPr>
          <w:color w:val="000000"/>
          <w:sz w:val="22"/>
          <w:szCs w:val="22"/>
        </w:rPr>
        <w:t xml:space="preserve">Candidates or tenderers included in the lists of EU restrictive measures (see Section 2.4. of the PRAG) </w:t>
      </w:r>
      <w:proofErr w:type="gramStart"/>
      <w:r>
        <w:rPr>
          <w:color w:val="000000"/>
          <w:sz w:val="22"/>
          <w:szCs w:val="22"/>
        </w:rPr>
        <w:t>at the moment</w:t>
      </w:r>
      <w:proofErr w:type="gramEnd"/>
      <w:r>
        <w:rPr>
          <w:color w:val="000000"/>
          <w:sz w:val="22"/>
          <w:szCs w:val="22"/>
        </w:rPr>
        <w:t xml:space="preserve"> of the award decision cannot be awarded the contract.</w:t>
      </w:r>
    </w:p>
    <w:p w14:paraId="34C357D5"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 xml:space="preserve">Sub-contracting </w:t>
      </w:r>
    </w:p>
    <w:p w14:paraId="450D440B" w14:textId="77777777" w:rsidR="00D549D1" w:rsidRDefault="002106F0">
      <w:pPr>
        <w:widowControl/>
        <w:pBdr>
          <w:top w:val="nil"/>
          <w:left w:val="nil"/>
          <w:bottom w:val="nil"/>
          <w:right w:val="nil"/>
          <w:between w:val="nil"/>
        </w:pBdr>
        <w:spacing w:before="0" w:after="120"/>
        <w:ind w:left="426"/>
        <w:jc w:val="both"/>
        <w:rPr>
          <w:color w:val="000000"/>
          <w:sz w:val="22"/>
          <w:szCs w:val="22"/>
        </w:rPr>
      </w:pPr>
      <w:r>
        <w:rPr>
          <w:color w:val="000000"/>
          <w:sz w:val="22"/>
          <w:szCs w:val="22"/>
        </w:rPr>
        <w:t xml:space="preserve">Sub-contracting is allowed. </w:t>
      </w:r>
    </w:p>
    <w:p w14:paraId="28F846A5" w14:textId="77777777" w:rsidR="00D549D1" w:rsidRDefault="00D549D1">
      <w:pPr>
        <w:widowControl/>
        <w:pBdr>
          <w:top w:val="nil"/>
          <w:left w:val="nil"/>
          <w:bottom w:val="nil"/>
          <w:right w:val="nil"/>
          <w:between w:val="nil"/>
        </w:pBdr>
        <w:spacing w:before="0" w:after="120"/>
        <w:jc w:val="both"/>
        <w:rPr>
          <w:color w:val="000000"/>
          <w:sz w:val="22"/>
          <w:szCs w:val="22"/>
        </w:rPr>
      </w:pPr>
    </w:p>
    <w:p w14:paraId="57BAE9F4" w14:textId="49FB2CBB"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 xml:space="preserve">Number of candidates to be short-listed - Not applicable </w:t>
      </w:r>
    </w:p>
    <w:p w14:paraId="38AE1074" w14:textId="77777777" w:rsidR="00D549D1" w:rsidRDefault="002106F0">
      <w:pPr>
        <w:pBdr>
          <w:top w:val="nil"/>
          <w:left w:val="nil"/>
          <w:bottom w:val="nil"/>
          <w:right w:val="nil"/>
          <w:between w:val="nil"/>
        </w:pBdr>
        <w:ind w:left="426"/>
        <w:jc w:val="both"/>
        <w:rPr>
          <w:color w:val="000000"/>
          <w:sz w:val="22"/>
          <w:szCs w:val="22"/>
        </w:rPr>
      </w:pPr>
      <w:r>
        <w:rPr>
          <w:color w:val="000000"/>
          <w:sz w:val="22"/>
          <w:szCs w:val="22"/>
        </w:rPr>
        <w:t xml:space="preserve">On the basis of the applications received, between 4 and [for service contracts: </w:t>
      </w:r>
      <w:proofErr w:type="gramStart"/>
      <w:r>
        <w:rPr>
          <w:color w:val="000000"/>
          <w:sz w:val="22"/>
          <w:szCs w:val="22"/>
        </w:rPr>
        <w:t>8][</w:t>
      </w:r>
      <w:proofErr w:type="gramEnd"/>
      <w:r>
        <w:rPr>
          <w:color w:val="000000"/>
          <w:sz w:val="22"/>
          <w:szCs w:val="22"/>
        </w:rPr>
        <w:t>for works contracts: 6] candidates will be invited to submit detailed tenders for this contract. If the number of eligible candidates meeting the selection criteria is less than the minimum of 4, the contracting authority may invite the candidates who satisfy the criteria to submit a tender. If the number of eligible candidates meeting the selection criteria is more than the maximum allowed, the contracting authority will rank them using the re-examination criteria stated below.</w:t>
      </w:r>
    </w:p>
    <w:p w14:paraId="08BA11AE" w14:textId="77777777" w:rsidR="00D549D1" w:rsidRPr="00CD4A03" w:rsidRDefault="002106F0">
      <w:pPr>
        <w:numPr>
          <w:ilvl w:val="0"/>
          <w:numId w:val="1"/>
        </w:numPr>
        <w:pBdr>
          <w:top w:val="nil"/>
          <w:left w:val="nil"/>
          <w:bottom w:val="nil"/>
          <w:right w:val="nil"/>
          <w:between w:val="nil"/>
        </w:pBdr>
        <w:ind w:left="426" w:hanging="426"/>
        <w:rPr>
          <w:b/>
          <w:color w:val="000000"/>
          <w:sz w:val="22"/>
          <w:szCs w:val="22"/>
        </w:rPr>
      </w:pPr>
      <w:r w:rsidRPr="00CD4A03">
        <w:rPr>
          <w:b/>
          <w:color w:val="000000"/>
          <w:sz w:val="22"/>
          <w:szCs w:val="22"/>
        </w:rPr>
        <w:t xml:space="preserve">Provisional date of invitation to tender </w:t>
      </w:r>
    </w:p>
    <w:p w14:paraId="6544E406" w14:textId="251BB08C" w:rsidR="00D549D1" w:rsidRPr="00CD4A03" w:rsidRDefault="00E06D42">
      <w:pPr>
        <w:pBdr>
          <w:top w:val="nil"/>
          <w:left w:val="nil"/>
          <w:bottom w:val="nil"/>
          <w:right w:val="nil"/>
          <w:between w:val="nil"/>
        </w:pBdr>
        <w:ind w:left="426"/>
        <w:rPr>
          <w:i/>
          <w:color w:val="000000"/>
          <w:szCs w:val="24"/>
        </w:rPr>
      </w:pPr>
      <w:r w:rsidRPr="00CD4A03">
        <w:rPr>
          <w:color w:val="000000"/>
          <w:sz w:val="22"/>
          <w:szCs w:val="22"/>
        </w:rPr>
        <w:t>28.09</w:t>
      </w:r>
      <w:r w:rsidR="002106F0" w:rsidRPr="00CD4A03">
        <w:rPr>
          <w:color w:val="000000"/>
          <w:sz w:val="22"/>
          <w:szCs w:val="22"/>
        </w:rPr>
        <w:t>.2021</w:t>
      </w:r>
    </w:p>
    <w:p w14:paraId="1EECB3A4" w14:textId="77777777" w:rsidR="00D549D1" w:rsidRPr="00CD4A03" w:rsidRDefault="002106F0">
      <w:pPr>
        <w:numPr>
          <w:ilvl w:val="0"/>
          <w:numId w:val="1"/>
        </w:numPr>
        <w:pBdr>
          <w:top w:val="nil"/>
          <w:left w:val="nil"/>
          <w:bottom w:val="nil"/>
          <w:right w:val="nil"/>
          <w:between w:val="nil"/>
        </w:pBdr>
        <w:ind w:left="426" w:hanging="426"/>
        <w:rPr>
          <w:b/>
          <w:color w:val="000000"/>
          <w:sz w:val="22"/>
          <w:szCs w:val="22"/>
        </w:rPr>
      </w:pPr>
      <w:r w:rsidRPr="00CD4A03">
        <w:rPr>
          <w:b/>
          <w:color w:val="000000"/>
          <w:sz w:val="22"/>
          <w:szCs w:val="22"/>
        </w:rPr>
        <w:t xml:space="preserve">Provisional commencement date of the contract </w:t>
      </w:r>
    </w:p>
    <w:p w14:paraId="79B45EE9" w14:textId="3250B052" w:rsidR="00D549D1" w:rsidRPr="00CD4A03" w:rsidRDefault="00E06D42">
      <w:pPr>
        <w:pBdr>
          <w:top w:val="nil"/>
          <w:left w:val="nil"/>
          <w:bottom w:val="nil"/>
          <w:right w:val="nil"/>
          <w:between w:val="nil"/>
        </w:pBdr>
        <w:ind w:left="426"/>
        <w:rPr>
          <w:color w:val="000000"/>
          <w:sz w:val="22"/>
          <w:szCs w:val="22"/>
        </w:rPr>
      </w:pPr>
      <w:r w:rsidRPr="00CD4A03">
        <w:rPr>
          <w:color w:val="000000"/>
          <w:sz w:val="22"/>
          <w:szCs w:val="22"/>
        </w:rPr>
        <w:t>22.11</w:t>
      </w:r>
      <w:r w:rsidR="002106F0" w:rsidRPr="00CD4A03">
        <w:rPr>
          <w:color w:val="000000"/>
          <w:sz w:val="22"/>
          <w:szCs w:val="22"/>
        </w:rPr>
        <w:t>.2021</w:t>
      </w:r>
    </w:p>
    <w:p w14:paraId="17AA03AA" w14:textId="77777777" w:rsidR="00D549D1" w:rsidRPr="00CD4A03" w:rsidRDefault="002106F0">
      <w:pPr>
        <w:numPr>
          <w:ilvl w:val="0"/>
          <w:numId w:val="1"/>
        </w:numPr>
        <w:pBdr>
          <w:top w:val="nil"/>
          <w:left w:val="nil"/>
          <w:bottom w:val="nil"/>
          <w:right w:val="nil"/>
          <w:between w:val="nil"/>
        </w:pBdr>
        <w:ind w:left="426" w:hanging="426"/>
        <w:rPr>
          <w:b/>
          <w:color w:val="000000"/>
          <w:sz w:val="22"/>
          <w:szCs w:val="22"/>
        </w:rPr>
      </w:pPr>
      <w:bookmarkStart w:id="0" w:name="_heading=h.gjdgxs" w:colFirst="0" w:colLast="0"/>
      <w:bookmarkEnd w:id="0"/>
      <w:r w:rsidRPr="00CD4A03">
        <w:rPr>
          <w:b/>
          <w:color w:val="000000"/>
          <w:sz w:val="22"/>
          <w:szCs w:val="22"/>
        </w:rPr>
        <w:t>P</w:t>
      </w:r>
      <w:r w:rsidRPr="00CD4A03">
        <w:rPr>
          <w:b/>
          <w:color w:val="000000"/>
          <w:szCs w:val="24"/>
        </w:rPr>
        <w:t>eriod of implementation of tasks</w:t>
      </w:r>
    </w:p>
    <w:p w14:paraId="705B3D56" w14:textId="77777777" w:rsidR="00D549D1" w:rsidRDefault="002106F0">
      <w:pPr>
        <w:pBdr>
          <w:top w:val="nil"/>
          <w:left w:val="nil"/>
          <w:bottom w:val="nil"/>
          <w:right w:val="nil"/>
          <w:between w:val="nil"/>
        </w:pBdr>
        <w:ind w:left="426"/>
        <w:rPr>
          <w:i/>
          <w:color w:val="000000"/>
          <w:sz w:val="22"/>
          <w:szCs w:val="22"/>
        </w:rPr>
      </w:pPr>
      <w:r w:rsidRPr="00CD4A03">
        <w:rPr>
          <w:color w:val="000000"/>
          <w:sz w:val="22"/>
          <w:szCs w:val="22"/>
        </w:rPr>
        <w:t xml:space="preserve">  </w:t>
      </w:r>
      <w:r w:rsidRPr="00CD4A03">
        <w:rPr>
          <w:sz w:val="22"/>
          <w:szCs w:val="22"/>
        </w:rPr>
        <w:t>9</w:t>
      </w:r>
      <w:r w:rsidRPr="00CD4A03">
        <w:rPr>
          <w:color w:val="000000"/>
          <w:sz w:val="22"/>
          <w:szCs w:val="22"/>
        </w:rPr>
        <w:t>0 days from contract signature until the provisional acceptance</w:t>
      </w:r>
    </w:p>
    <w:p w14:paraId="774D0F5D" w14:textId="77777777" w:rsidR="00D549D1" w:rsidRDefault="002106F0">
      <w:pPr>
        <w:keepNext/>
        <w:keepLines/>
        <w:rPr>
          <w:sz w:val="22"/>
          <w:szCs w:val="22"/>
        </w:rPr>
      </w:pPr>
      <w:r>
        <w:rPr>
          <w:noProof/>
        </w:rPr>
        <mc:AlternateContent>
          <mc:Choice Requires="wpg">
            <w:drawing>
              <wp:anchor distT="0" distB="0" distL="114300" distR="114300" simplePos="0" relativeHeight="251658240" behindDoc="0" locked="0" layoutInCell="1" hidden="0" allowOverlap="1" wp14:anchorId="4ACC030F" wp14:editId="0F9E42CD">
                <wp:simplePos x="0" y="0"/>
                <wp:positionH relativeFrom="column">
                  <wp:posOffset>1</wp:posOffset>
                </wp:positionH>
                <wp:positionV relativeFrom="paragraph">
                  <wp:posOffset>139700</wp:posOffset>
                </wp:positionV>
                <wp:extent cx="5943600" cy="22225"/>
                <wp:effectExtent l="0" t="0" r="0" b="0"/>
                <wp:wrapNone/>
                <wp:docPr id="8" name="Straight Arrow Connector 8"/>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noFill/>
                        <a:ln w="22225" cap="flat" cmpd="sng">
                          <a:solidFill>
                            <a:srgbClr val="D4D4D4"/>
                          </a:solidFill>
                          <a:prstDash val="solid"/>
                          <a:round/>
                          <a:headEnd type="none" w="med" len="med"/>
                          <a:tailEnd type="none" w="med" len="med"/>
                        </a:ln>
                        <a:effectLst>
                          <a:outerShdw dist="12700" dir="16200000" algn="tr" rotWithShape="0">
                            <a:srgbClr val="808080"/>
                          </a:outerShdw>
                        </a:effectLst>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139700</wp:posOffset>
                </wp:positionV>
                <wp:extent cx="5943600" cy="22225"/>
                <wp:effectExtent b="0" l="0" r="0" t="0"/>
                <wp:wrapNone/>
                <wp:docPr id="8"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5943600" cy="22225"/>
                        </a:xfrm>
                        <a:prstGeom prst="rect"/>
                        <a:ln/>
                      </pic:spPr>
                    </pic:pic>
                  </a:graphicData>
                </a:graphic>
              </wp:anchor>
            </w:drawing>
          </mc:Fallback>
        </mc:AlternateContent>
      </w:r>
    </w:p>
    <w:p w14:paraId="62535E31" w14:textId="77777777" w:rsidR="00D549D1" w:rsidRDefault="002106F0">
      <w:pPr>
        <w:keepNext/>
        <w:keepLines/>
        <w:ind w:left="360"/>
        <w:jc w:val="center"/>
        <w:rPr>
          <w:b/>
          <w:sz w:val="22"/>
          <w:szCs w:val="22"/>
        </w:rPr>
      </w:pPr>
      <w:r>
        <w:rPr>
          <w:b/>
          <w:sz w:val="22"/>
          <w:szCs w:val="22"/>
        </w:rPr>
        <w:t>[SELECTION AND AWARD CRITERIA</w:t>
      </w:r>
    </w:p>
    <w:p w14:paraId="33515DEF"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Selection criteria</w:t>
      </w:r>
    </w:p>
    <w:p w14:paraId="538D7563" w14:textId="0E33A229" w:rsidR="00D549D1" w:rsidRDefault="002106F0" w:rsidP="00CD4A03">
      <w:pPr>
        <w:spacing w:before="240" w:after="0"/>
        <w:ind w:right="-48"/>
        <w:jc w:val="both"/>
        <w:rPr>
          <w:sz w:val="22"/>
          <w:szCs w:val="22"/>
        </w:rPr>
      </w:pPr>
      <w:r>
        <w:rPr>
          <w:sz w:val="22"/>
          <w:szCs w:val="22"/>
        </w:rPr>
        <w:t xml:space="preserve">The following selection criteria will be applied to candidates. In the case of applications submitted by a consortium, these selection criteria will be applied to the consortium </w:t>
      </w:r>
      <w:proofErr w:type="gramStart"/>
      <w:r>
        <w:rPr>
          <w:sz w:val="22"/>
          <w:szCs w:val="22"/>
        </w:rPr>
        <w:t>as a whole if</w:t>
      </w:r>
      <w:proofErr w:type="gramEnd"/>
      <w:r>
        <w:rPr>
          <w:sz w:val="22"/>
          <w:szCs w:val="22"/>
        </w:rPr>
        <w:t xml:space="preserve"> not specified otherwise. The selection criteria will not be applied to natural persons and single-member companies when they are sub-contractors.</w:t>
      </w:r>
      <w:r>
        <w:t xml:space="preserve"> </w:t>
      </w:r>
    </w:p>
    <w:p w14:paraId="74DD2F74" w14:textId="77777777" w:rsidR="00D549D1" w:rsidRDefault="002106F0" w:rsidP="00CD4A03">
      <w:pPr>
        <w:rPr>
          <w:sz w:val="22"/>
          <w:szCs w:val="22"/>
        </w:rPr>
      </w:pPr>
      <w:r>
        <w:rPr>
          <w:sz w:val="22"/>
          <w:szCs w:val="22"/>
        </w:rPr>
        <w:t>The selection criteria for each tenderer are as follows:</w:t>
      </w:r>
    </w:p>
    <w:p w14:paraId="647262D5" w14:textId="77777777" w:rsidR="00D549D1" w:rsidRDefault="002106F0">
      <w:pPr>
        <w:pBdr>
          <w:top w:val="nil"/>
          <w:left w:val="nil"/>
          <w:bottom w:val="nil"/>
          <w:right w:val="nil"/>
          <w:between w:val="nil"/>
        </w:pBdr>
        <w:ind w:left="840" w:right="-48" w:hanging="360"/>
        <w:jc w:val="both"/>
        <w:rPr>
          <w:color w:val="000000"/>
          <w:sz w:val="22"/>
          <w:szCs w:val="22"/>
        </w:rPr>
      </w:pPr>
      <w:r>
        <w:rPr>
          <w:b/>
          <w:color w:val="000000"/>
          <w:sz w:val="22"/>
          <w:szCs w:val="22"/>
          <w:u w:val="single"/>
        </w:rPr>
        <w:lastRenderedPageBreak/>
        <w:t>1)</w:t>
      </w:r>
      <w:r>
        <w:rPr>
          <w:color w:val="000000"/>
          <w:sz w:val="22"/>
          <w:szCs w:val="22"/>
        </w:rPr>
        <w:t xml:space="preserve"> </w:t>
      </w:r>
      <w:r>
        <w:rPr>
          <w:b/>
          <w:color w:val="000000"/>
          <w:sz w:val="22"/>
          <w:szCs w:val="22"/>
          <w:u w:val="single"/>
        </w:rPr>
        <w:t>Economic and financial capacity</w:t>
      </w:r>
      <w:r>
        <w:rPr>
          <w:color w:val="000000"/>
          <w:sz w:val="22"/>
          <w:szCs w:val="22"/>
        </w:rPr>
        <w:t xml:space="preserve"> </w:t>
      </w:r>
      <w:r>
        <w:rPr>
          <w:b/>
          <w:color w:val="000000"/>
          <w:sz w:val="22"/>
          <w:szCs w:val="22"/>
        </w:rPr>
        <w:t>(</w:t>
      </w:r>
      <w:r>
        <w:rPr>
          <w:color w:val="000000"/>
          <w:sz w:val="22"/>
          <w:szCs w:val="22"/>
        </w:rPr>
        <w:t xml:space="preserve">based on item 3 of the service application form, on item 3 of supply tender form). In case of candidate being a public body, equivalent information should be provided. The reference period which will be </w:t>
      </w:r>
      <w:proofErr w:type="gramStart"/>
      <w:r>
        <w:rPr>
          <w:color w:val="000000"/>
          <w:sz w:val="22"/>
          <w:szCs w:val="22"/>
        </w:rPr>
        <w:t>taken into account</w:t>
      </w:r>
      <w:proofErr w:type="gramEnd"/>
      <w:r>
        <w:rPr>
          <w:color w:val="000000"/>
          <w:sz w:val="22"/>
          <w:szCs w:val="22"/>
        </w:rPr>
        <w:t xml:space="preserve"> will be the last three years for which accounts have been closed.</w:t>
      </w:r>
    </w:p>
    <w:p w14:paraId="13468296" w14:textId="77777777" w:rsidR="00D549D1" w:rsidRDefault="002106F0">
      <w:pPr>
        <w:numPr>
          <w:ilvl w:val="0"/>
          <w:numId w:val="4"/>
        </w:numPr>
        <w:pBdr>
          <w:top w:val="nil"/>
          <w:left w:val="nil"/>
          <w:bottom w:val="nil"/>
          <w:right w:val="nil"/>
          <w:between w:val="nil"/>
        </w:pBdr>
        <w:rPr>
          <w:color w:val="000000"/>
          <w:sz w:val="22"/>
          <w:szCs w:val="22"/>
        </w:rPr>
      </w:pPr>
      <w:r>
        <w:rPr>
          <w:color w:val="000000"/>
          <w:sz w:val="22"/>
          <w:szCs w:val="22"/>
        </w:rPr>
        <w:t xml:space="preserve">the average annual turnover of the tenderer over past three years </w:t>
      </w:r>
      <w:r>
        <w:rPr>
          <w:b/>
          <w:color w:val="000000"/>
          <w:sz w:val="22"/>
          <w:szCs w:val="22"/>
        </w:rPr>
        <w:t>must exceed</w:t>
      </w:r>
      <w:r>
        <w:rPr>
          <w:color w:val="000000"/>
          <w:sz w:val="22"/>
          <w:szCs w:val="22"/>
        </w:rPr>
        <w:t xml:space="preserve"> the value of the Tenderer’s Financial offer.</w:t>
      </w:r>
    </w:p>
    <w:p w14:paraId="130C7BFA" w14:textId="77777777" w:rsidR="00D549D1" w:rsidRDefault="002106F0">
      <w:pPr>
        <w:pBdr>
          <w:top w:val="nil"/>
          <w:left w:val="nil"/>
          <w:bottom w:val="nil"/>
          <w:right w:val="nil"/>
          <w:between w:val="nil"/>
        </w:pBdr>
        <w:ind w:left="830" w:right="-48" w:hanging="284"/>
        <w:jc w:val="both"/>
        <w:rPr>
          <w:color w:val="000000"/>
          <w:sz w:val="22"/>
          <w:szCs w:val="22"/>
        </w:rPr>
      </w:pPr>
      <w:r>
        <w:rPr>
          <w:b/>
          <w:color w:val="000000"/>
          <w:sz w:val="22"/>
          <w:szCs w:val="22"/>
          <w:u w:val="single"/>
        </w:rPr>
        <w:t>2)</w:t>
      </w:r>
      <w:r>
        <w:rPr>
          <w:color w:val="000000"/>
          <w:sz w:val="22"/>
          <w:szCs w:val="22"/>
        </w:rPr>
        <w:t xml:space="preserve"> </w:t>
      </w:r>
      <w:r>
        <w:rPr>
          <w:b/>
          <w:color w:val="000000"/>
          <w:sz w:val="22"/>
          <w:szCs w:val="22"/>
          <w:u w:val="single"/>
        </w:rPr>
        <w:t>Professional capacity</w:t>
      </w:r>
      <w:r>
        <w:rPr>
          <w:color w:val="000000"/>
          <w:sz w:val="22"/>
          <w:szCs w:val="22"/>
        </w:rPr>
        <w:t xml:space="preserve"> (based on items 4 and 5 of the application </w:t>
      </w:r>
      <w:proofErr w:type="gramStart"/>
      <w:r>
        <w:rPr>
          <w:color w:val="000000"/>
          <w:sz w:val="22"/>
          <w:szCs w:val="22"/>
        </w:rPr>
        <w:t>form</w:t>
      </w:r>
      <w:proofErr w:type="gramEnd"/>
      <w:r>
        <w:rPr>
          <w:color w:val="000000"/>
          <w:sz w:val="22"/>
          <w:szCs w:val="22"/>
        </w:rPr>
        <w:t xml:space="preserve"> for service contracts and on items 4 and 5 of the tender form for supply contracts). The reference period which will be </w:t>
      </w:r>
      <w:proofErr w:type="gramStart"/>
      <w:r>
        <w:rPr>
          <w:color w:val="000000"/>
          <w:sz w:val="22"/>
          <w:szCs w:val="22"/>
        </w:rPr>
        <w:t>taken into account</w:t>
      </w:r>
      <w:proofErr w:type="gramEnd"/>
      <w:r>
        <w:rPr>
          <w:color w:val="000000"/>
          <w:sz w:val="22"/>
          <w:szCs w:val="22"/>
        </w:rPr>
        <w:t xml:space="preserve"> will be the last three years preceding the submission deadline.</w:t>
      </w:r>
    </w:p>
    <w:p w14:paraId="60FCE43C" w14:textId="77777777" w:rsidR="00D549D1" w:rsidRDefault="002106F0">
      <w:pPr>
        <w:pBdr>
          <w:top w:val="nil"/>
          <w:left w:val="nil"/>
          <w:bottom w:val="nil"/>
          <w:right w:val="nil"/>
          <w:between w:val="nil"/>
        </w:pBdr>
        <w:ind w:left="1134" w:right="360"/>
        <w:rPr>
          <w:color w:val="000000"/>
          <w:sz w:val="22"/>
          <w:szCs w:val="22"/>
        </w:rPr>
      </w:pPr>
      <w:r>
        <w:rPr>
          <w:color w:val="000000"/>
          <w:sz w:val="22"/>
          <w:szCs w:val="22"/>
          <w:u w:val="single"/>
        </w:rPr>
        <w:t xml:space="preserve">Criteria for legal persons: </w:t>
      </w:r>
    </w:p>
    <w:p w14:paraId="60CCB766" w14:textId="77777777" w:rsidR="00D549D1" w:rsidRDefault="002106F0">
      <w:pPr>
        <w:numPr>
          <w:ilvl w:val="0"/>
          <w:numId w:val="4"/>
        </w:numPr>
        <w:pBdr>
          <w:top w:val="nil"/>
          <w:left w:val="nil"/>
          <w:bottom w:val="nil"/>
          <w:right w:val="nil"/>
          <w:between w:val="nil"/>
        </w:pBdr>
        <w:rPr>
          <w:color w:val="000000"/>
          <w:sz w:val="22"/>
          <w:szCs w:val="22"/>
        </w:rPr>
      </w:pPr>
      <w:r>
        <w:rPr>
          <w:color w:val="000000"/>
          <w:sz w:val="22"/>
          <w:szCs w:val="22"/>
        </w:rPr>
        <w:t xml:space="preserve">at least </w:t>
      </w:r>
      <w:r>
        <w:rPr>
          <w:b/>
          <w:color w:val="000000"/>
          <w:sz w:val="22"/>
          <w:szCs w:val="22"/>
        </w:rPr>
        <w:t>1 staff</w:t>
      </w:r>
      <w:r>
        <w:rPr>
          <w:color w:val="000000"/>
          <w:sz w:val="22"/>
          <w:szCs w:val="22"/>
        </w:rPr>
        <w:t xml:space="preserve"> currently work for the tenderer in fields related to this contract; </w:t>
      </w:r>
    </w:p>
    <w:p w14:paraId="28A4A996" w14:textId="77777777" w:rsidR="00D549D1" w:rsidRDefault="002106F0">
      <w:pPr>
        <w:pBdr>
          <w:top w:val="nil"/>
          <w:left w:val="nil"/>
          <w:bottom w:val="nil"/>
          <w:right w:val="nil"/>
          <w:between w:val="nil"/>
        </w:pBdr>
        <w:ind w:left="1134" w:right="360"/>
        <w:rPr>
          <w:color w:val="000000"/>
          <w:sz w:val="22"/>
          <w:szCs w:val="22"/>
          <w:u w:val="single"/>
        </w:rPr>
      </w:pPr>
      <w:r>
        <w:rPr>
          <w:color w:val="000000"/>
          <w:sz w:val="22"/>
          <w:szCs w:val="22"/>
          <w:u w:val="single"/>
        </w:rPr>
        <w:t xml:space="preserve">Criteria for natural persons: </w:t>
      </w:r>
    </w:p>
    <w:p w14:paraId="500A97B0" w14:textId="77777777" w:rsidR="00D549D1" w:rsidRDefault="002106F0">
      <w:pPr>
        <w:numPr>
          <w:ilvl w:val="0"/>
          <w:numId w:val="4"/>
        </w:numPr>
        <w:pBdr>
          <w:top w:val="nil"/>
          <w:left w:val="nil"/>
          <w:bottom w:val="nil"/>
          <w:right w:val="nil"/>
          <w:between w:val="nil"/>
        </w:pBdr>
        <w:rPr>
          <w:color w:val="000000"/>
          <w:sz w:val="22"/>
          <w:szCs w:val="22"/>
        </w:rPr>
      </w:pPr>
      <w:r>
        <w:rPr>
          <w:color w:val="000000"/>
          <w:sz w:val="22"/>
          <w:szCs w:val="22"/>
        </w:rPr>
        <w:t>is currently working as manager/team-leader or collaborator in fields related to this contract.</w:t>
      </w:r>
    </w:p>
    <w:p w14:paraId="416A1D9E" w14:textId="77777777" w:rsidR="00D549D1" w:rsidRDefault="002106F0">
      <w:pPr>
        <w:pBdr>
          <w:top w:val="nil"/>
          <w:left w:val="nil"/>
          <w:bottom w:val="nil"/>
          <w:right w:val="nil"/>
          <w:between w:val="nil"/>
        </w:pBdr>
        <w:ind w:left="830" w:right="-48" w:hanging="284"/>
        <w:jc w:val="both"/>
        <w:rPr>
          <w:color w:val="000000"/>
          <w:sz w:val="22"/>
          <w:szCs w:val="22"/>
        </w:rPr>
      </w:pPr>
      <w:r>
        <w:rPr>
          <w:b/>
          <w:color w:val="000000"/>
          <w:sz w:val="22"/>
          <w:szCs w:val="22"/>
        </w:rPr>
        <w:t>3)</w:t>
      </w:r>
      <w:r>
        <w:rPr>
          <w:b/>
          <w:color w:val="000000"/>
          <w:sz w:val="22"/>
          <w:szCs w:val="22"/>
        </w:rPr>
        <w:tab/>
      </w:r>
      <w:r>
        <w:rPr>
          <w:b/>
          <w:color w:val="000000"/>
          <w:sz w:val="22"/>
          <w:szCs w:val="22"/>
          <w:u w:val="single"/>
        </w:rPr>
        <w:t xml:space="preserve">Technical capacity </w:t>
      </w:r>
      <w:r>
        <w:rPr>
          <w:color w:val="000000"/>
          <w:sz w:val="22"/>
          <w:szCs w:val="22"/>
        </w:rPr>
        <w:t xml:space="preserve">(based on items 5 and 6 of the application </w:t>
      </w:r>
      <w:proofErr w:type="gramStart"/>
      <w:r>
        <w:rPr>
          <w:color w:val="000000"/>
          <w:sz w:val="22"/>
          <w:szCs w:val="22"/>
        </w:rPr>
        <w:t>form</w:t>
      </w:r>
      <w:proofErr w:type="gramEnd"/>
      <w:r>
        <w:rPr>
          <w:color w:val="000000"/>
          <w:sz w:val="22"/>
          <w:szCs w:val="22"/>
        </w:rPr>
        <w:t xml:space="preserve"> for service contracts and on items 5 and 6 of the tender form for supply contracts). The reference period which will be </w:t>
      </w:r>
      <w:proofErr w:type="gramStart"/>
      <w:r>
        <w:rPr>
          <w:color w:val="000000"/>
          <w:sz w:val="22"/>
          <w:szCs w:val="22"/>
        </w:rPr>
        <w:t>taken into account</w:t>
      </w:r>
      <w:proofErr w:type="gramEnd"/>
      <w:r>
        <w:rPr>
          <w:color w:val="000000"/>
          <w:sz w:val="22"/>
          <w:szCs w:val="22"/>
        </w:rPr>
        <w:t xml:space="preserve"> will be the last three years from submission deadline.</w:t>
      </w:r>
    </w:p>
    <w:p w14:paraId="1EFF18B5" w14:textId="77777777" w:rsidR="00D549D1" w:rsidRDefault="002106F0">
      <w:pPr>
        <w:spacing w:before="240" w:after="0"/>
        <w:ind w:left="426" w:right="-48"/>
        <w:jc w:val="both"/>
        <w:rPr>
          <w:sz w:val="22"/>
          <w:szCs w:val="22"/>
        </w:rPr>
      </w:pPr>
      <w:r>
        <w:rPr>
          <w:sz w:val="22"/>
          <w:szCs w:val="22"/>
        </w:rPr>
        <w:t xml:space="preserve">The candidate has provided services or supplies under at least </w:t>
      </w:r>
      <w:r>
        <w:rPr>
          <w:b/>
          <w:sz w:val="22"/>
          <w:szCs w:val="22"/>
        </w:rPr>
        <w:t>1 contract</w:t>
      </w:r>
      <w:r>
        <w:rPr>
          <w:sz w:val="22"/>
          <w:szCs w:val="22"/>
        </w:rPr>
        <w:t xml:space="preserve"> in the fields similar related to this contract which was implemented at any moment during the reference period: </w:t>
      </w:r>
      <w:r>
        <w:rPr>
          <w:b/>
          <w:sz w:val="22"/>
          <w:szCs w:val="22"/>
        </w:rPr>
        <w:t>3 years</w:t>
      </w:r>
      <w:r>
        <w:rPr>
          <w:sz w:val="22"/>
          <w:szCs w:val="22"/>
        </w:rPr>
        <w:t xml:space="preserve"> from the submission deadline. </w:t>
      </w:r>
    </w:p>
    <w:p w14:paraId="3B639738" w14:textId="77777777" w:rsidR="00D549D1" w:rsidRDefault="002106F0">
      <w:pPr>
        <w:spacing w:before="240" w:after="0"/>
        <w:ind w:left="426" w:right="-48"/>
        <w:jc w:val="both"/>
        <w:rPr>
          <w:sz w:val="22"/>
          <w:szCs w:val="22"/>
        </w:rPr>
      </w:pPr>
      <w:r>
        <w:rPr>
          <w:sz w:val="22"/>
          <w:szCs w:val="22"/>
        </w:rPr>
        <w:t xml:space="preserve">This means that the contract the candidate refers to could have been started at any time during the indicated </w:t>
      </w:r>
      <w:proofErr w:type="gramStart"/>
      <w:r>
        <w:rPr>
          <w:sz w:val="22"/>
          <w:szCs w:val="22"/>
        </w:rPr>
        <w:t>period</w:t>
      </w:r>
      <w:proofErr w:type="gramEnd"/>
      <w:r>
        <w:rPr>
          <w:sz w:val="22"/>
          <w:szCs w:val="22"/>
        </w:rPr>
        <w:t xml:space="preserve"> but it does not necessarily have to be completed during that period, nor implemented during the entire period. Candidates </w:t>
      </w:r>
      <w:proofErr w:type="gramStart"/>
      <w:r>
        <w:rPr>
          <w:sz w:val="22"/>
          <w:szCs w:val="22"/>
        </w:rPr>
        <w:t>are allowed to</w:t>
      </w:r>
      <w:proofErr w:type="gramEnd"/>
      <w:r>
        <w:rPr>
          <w:sz w:val="22"/>
          <w:szCs w:val="22"/>
        </w:rPr>
        <w:t xml:space="preserve">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 if the selection criteria relating to the pertinence of the experience have been used.</w:t>
      </w:r>
    </w:p>
    <w:p w14:paraId="76AD1369" w14:textId="77777777" w:rsidR="00D549D1" w:rsidRDefault="002106F0">
      <w:pPr>
        <w:pBdr>
          <w:top w:val="nil"/>
          <w:left w:val="nil"/>
          <w:bottom w:val="nil"/>
          <w:right w:val="nil"/>
          <w:between w:val="nil"/>
        </w:pBdr>
        <w:ind w:left="480" w:right="360"/>
        <w:jc w:val="both"/>
        <w:rPr>
          <w:color w:val="000000"/>
          <w:sz w:val="22"/>
          <w:szCs w:val="22"/>
        </w:rPr>
      </w:pPr>
      <w:r>
        <w:rPr>
          <w:color w:val="000000"/>
          <w:sz w:val="22"/>
          <w:szCs w:val="22"/>
        </w:rPr>
        <w:t>Capacity-providing entities</w:t>
      </w:r>
    </w:p>
    <w:p w14:paraId="68CE9BB4" w14:textId="77777777" w:rsidR="00D549D1" w:rsidRDefault="002106F0">
      <w:pPr>
        <w:pBdr>
          <w:top w:val="nil"/>
          <w:left w:val="nil"/>
          <w:bottom w:val="nil"/>
          <w:right w:val="nil"/>
          <w:between w:val="nil"/>
        </w:pBdr>
        <w:ind w:left="480" w:right="360"/>
        <w:jc w:val="both"/>
        <w:rPr>
          <w:color w:val="000000"/>
          <w:sz w:val="22"/>
          <w:szCs w:val="22"/>
        </w:rPr>
      </w:pPr>
      <w:r>
        <w:rPr>
          <w:color w:val="000000"/>
          <w:sz w:val="22"/>
          <w:szCs w:val="22"/>
        </w:rPr>
        <w:t>An economic operator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data for this third entity for the relevant selection criterion should be included in a separate document. Proof of the capacity will also have to be provided when requested by the contracting authority.</w:t>
      </w:r>
    </w:p>
    <w:p w14:paraId="59382C45" w14:textId="77777777" w:rsidR="00D549D1" w:rsidRDefault="002106F0">
      <w:pPr>
        <w:pBdr>
          <w:top w:val="nil"/>
          <w:left w:val="nil"/>
          <w:bottom w:val="nil"/>
          <w:right w:val="nil"/>
          <w:between w:val="nil"/>
        </w:pBdr>
        <w:ind w:left="480" w:right="360"/>
        <w:jc w:val="both"/>
        <w:rPr>
          <w:color w:val="000000"/>
          <w:sz w:val="22"/>
          <w:szCs w:val="22"/>
        </w:rPr>
      </w:pPr>
      <w:proofErr w:type="gramStart"/>
      <w:r>
        <w:rPr>
          <w:color w:val="000000"/>
          <w:sz w:val="22"/>
          <w:szCs w:val="22"/>
        </w:rPr>
        <w:t>With regard to</w:t>
      </w:r>
      <w:proofErr w:type="gramEnd"/>
      <w:r>
        <w:rPr>
          <w:color w:val="000000"/>
          <w:sz w:val="22"/>
          <w:szCs w:val="22"/>
        </w:rPr>
        <w:t xml:space="preserve"> technical and professional criteria, an economic operator may only rely on the capacities of other entities where the latter will perform the tasks for which these capacities are required. </w:t>
      </w:r>
    </w:p>
    <w:p w14:paraId="5B0731C6" w14:textId="77777777" w:rsidR="00D549D1" w:rsidRDefault="002106F0">
      <w:pPr>
        <w:pBdr>
          <w:top w:val="nil"/>
          <w:left w:val="nil"/>
          <w:bottom w:val="nil"/>
          <w:right w:val="nil"/>
          <w:between w:val="nil"/>
        </w:pBdr>
        <w:ind w:left="480" w:right="360"/>
        <w:jc w:val="both"/>
        <w:rPr>
          <w:color w:val="000000"/>
          <w:sz w:val="22"/>
          <w:szCs w:val="22"/>
        </w:rPr>
      </w:pPr>
      <w:proofErr w:type="gramStart"/>
      <w:r>
        <w:rPr>
          <w:color w:val="000000"/>
          <w:sz w:val="22"/>
          <w:szCs w:val="22"/>
        </w:rPr>
        <w:t>With regard to</w:t>
      </w:r>
      <w:proofErr w:type="gramEnd"/>
      <w:r>
        <w:rPr>
          <w:color w:val="000000"/>
          <w:sz w:val="22"/>
          <w:szCs w:val="22"/>
        </w:rPr>
        <w:t xml:space="preserve"> economic and financial criteria, the entities upon whose capacity the economic operator relies, become jointly and severally liable for the performance of the contract.</w:t>
      </w:r>
    </w:p>
    <w:p w14:paraId="3E0D698C" w14:textId="77777777" w:rsidR="00D549D1" w:rsidRDefault="00D549D1">
      <w:pPr>
        <w:pBdr>
          <w:top w:val="nil"/>
          <w:left w:val="nil"/>
          <w:bottom w:val="nil"/>
          <w:right w:val="nil"/>
          <w:between w:val="nil"/>
        </w:pBdr>
        <w:ind w:left="840" w:right="-48" w:hanging="360"/>
        <w:jc w:val="both"/>
        <w:rPr>
          <w:color w:val="000000"/>
          <w:sz w:val="22"/>
          <w:szCs w:val="22"/>
        </w:rPr>
      </w:pPr>
    </w:p>
    <w:p w14:paraId="2396F9ED"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Award criteria</w:t>
      </w:r>
    </w:p>
    <w:p w14:paraId="71FEB94F" w14:textId="77777777" w:rsidR="00D549D1" w:rsidRDefault="002106F0">
      <w:pPr>
        <w:pBdr>
          <w:top w:val="nil"/>
          <w:left w:val="nil"/>
          <w:bottom w:val="nil"/>
          <w:right w:val="nil"/>
          <w:between w:val="nil"/>
        </w:pBdr>
        <w:ind w:left="426" w:right="360"/>
        <w:rPr>
          <w:color w:val="000000"/>
          <w:sz w:val="22"/>
          <w:szCs w:val="22"/>
        </w:rPr>
      </w:pPr>
      <w:r>
        <w:rPr>
          <w:color w:val="000000"/>
          <w:sz w:val="22"/>
          <w:szCs w:val="22"/>
        </w:rPr>
        <w:t>Price</w:t>
      </w:r>
    </w:p>
    <w:p w14:paraId="5417FF16" w14:textId="77777777" w:rsidR="00D549D1" w:rsidRDefault="002106F0">
      <w:pPr>
        <w:rPr>
          <w:sz w:val="22"/>
          <w:szCs w:val="22"/>
        </w:rPr>
      </w:pPr>
      <w:r>
        <w:rPr>
          <w:noProof/>
        </w:rPr>
        <mc:AlternateContent>
          <mc:Choice Requires="wpg">
            <w:drawing>
              <wp:anchor distT="0" distB="0" distL="114300" distR="114300" simplePos="0" relativeHeight="251659264" behindDoc="0" locked="0" layoutInCell="1" hidden="0" allowOverlap="1" wp14:anchorId="45756413" wp14:editId="438D102F">
                <wp:simplePos x="0" y="0"/>
                <wp:positionH relativeFrom="column">
                  <wp:posOffset>1</wp:posOffset>
                </wp:positionH>
                <wp:positionV relativeFrom="paragraph">
                  <wp:posOffset>139700</wp:posOffset>
                </wp:positionV>
                <wp:extent cx="5943600" cy="22225"/>
                <wp:effectExtent l="0" t="0" r="0" b="0"/>
                <wp:wrapNone/>
                <wp:docPr id="9" name="Straight Arrow Connector 9"/>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noFill/>
                        <a:ln w="22225" cap="flat" cmpd="sng">
                          <a:solidFill>
                            <a:srgbClr val="D4D4D4"/>
                          </a:solidFill>
                          <a:prstDash val="solid"/>
                          <a:round/>
                          <a:headEnd type="none" w="med" len="med"/>
                          <a:tailEnd type="none" w="med" len="med"/>
                        </a:ln>
                        <a:effectLst>
                          <a:outerShdw dist="12700" dir="16200000" algn="tr" rotWithShape="0">
                            <a:srgbClr val="808080"/>
                          </a:outerShdw>
                        </a:effectLst>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139700</wp:posOffset>
                </wp:positionV>
                <wp:extent cx="5943600" cy="22225"/>
                <wp:effectExtent b="0" l="0" r="0" t="0"/>
                <wp:wrapNone/>
                <wp:docPr id="9"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5943600" cy="22225"/>
                        </a:xfrm>
                        <a:prstGeom prst="rect"/>
                        <a:ln/>
                      </pic:spPr>
                    </pic:pic>
                  </a:graphicData>
                </a:graphic>
              </wp:anchor>
            </w:drawing>
          </mc:Fallback>
        </mc:AlternateContent>
      </w:r>
    </w:p>
    <w:p w14:paraId="37A1E4B5" w14:textId="77777777" w:rsidR="00D549D1" w:rsidRDefault="002106F0">
      <w:pPr>
        <w:pBdr>
          <w:top w:val="nil"/>
          <w:left w:val="nil"/>
          <w:bottom w:val="nil"/>
          <w:right w:val="nil"/>
          <w:between w:val="nil"/>
        </w:pBdr>
        <w:spacing w:after="240"/>
        <w:ind w:left="284"/>
        <w:jc w:val="center"/>
        <w:rPr>
          <w:b/>
          <w:color w:val="000000"/>
          <w:sz w:val="22"/>
          <w:szCs w:val="22"/>
        </w:rPr>
      </w:pPr>
      <w:r>
        <w:rPr>
          <w:b/>
          <w:color w:val="000000"/>
          <w:sz w:val="22"/>
          <w:szCs w:val="22"/>
        </w:rPr>
        <w:t>APPLICATION AND TENDERING</w:t>
      </w:r>
    </w:p>
    <w:p w14:paraId="58CFB4F1" w14:textId="77777777" w:rsidR="00D549D1" w:rsidRDefault="00D549D1">
      <w:pPr>
        <w:pBdr>
          <w:top w:val="nil"/>
          <w:left w:val="nil"/>
          <w:bottom w:val="nil"/>
          <w:right w:val="nil"/>
          <w:between w:val="nil"/>
        </w:pBdr>
        <w:spacing w:after="240"/>
        <w:ind w:left="284"/>
        <w:jc w:val="center"/>
        <w:rPr>
          <w:b/>
          <w:color w:val="000000"/>
          <w:sz w:val="22"/>
          <w:szCs w:val="22"/>
        </w:rPr>
      </w:pPr>
    </w:p>
    <w:p w14:paraId="335D5C71" w14:textId="77777777" w:rsidR="00D549D1" w:rsidRDefault="002106F0">
      <w:pPr>
        <w:numPr>
          <w:ilvl w:val="0"/>
          <w:numId w:val="1"/>
        </w:numPr>
        <w:pBdr>
          <w:top w:val="nil"/>
          <w:left w:val="nil"/>
          <w:bottom w:val="nil"/>
          <w:right w:val="nil"/>
          <w:between w:val="nil"/>
        </w:pBdr>
        <w:ind w:left="426" w:hanging="426"/>
        <w:jc w:val="both"/>
        <w:rPr>
          <w:b/>
          <w:color w:val="000000"/>
          <w:sz w:val="22"/>
          <w:szCs w:val="22"/>
        </w:rPr>
      </w:pPr>
      <w:r>
        <w:rPr>
          <w:b/>
          <w:color w:val="000000"/>
          <w:sz w:val="22"/>
          <w:szCs w:val="22"/>
        </w:rPr>
        <w:t>How to obtain the tender dossier</w:t>
      </w:r>
    </w:p>
    <w:p w14:paraId="1FB01B31" w14:textId="57312F9F" w:rsidR="00D549D1" w:rsidRPr="00CD4A03" w:rsidRDefault="002106F0" w:rsidP="00CD4A03">
      <w:pPr>
        <w:pBdr>
          <w:top w:val="nil"/>
          <w:left w:val="nil"/>
          <w:bottom w:val="nil"/>
          <w:right w:val="nil"/>
          <w:between w:val="nil"/>
        </w:pBdr>
        <w:rPr>
          <w:color w:val="000000"/>
          <w:szCs w:val="24"/>
        </w:rPr>
      </w:pPr>
      <w:r>
        <w:rPr>
          <w:color w:val="000000"/>
          <w:szCs w:val="24"/>
        </w:rPr>
        <w:t>The tender dossier is available from “</w:t>
      </w:r>
      <w:r>
        <w:rPr>
          <w:color w:val="000000"/>
          <w:sz w:val="22"/>
          <w:szCs w:val="22"/>
        </w:rPr>
        <w:t xml:space="preserve">Prof. D-r Asen Zlatarov” University of Burgas with address: 1 Prof. </w:t>
      </w:r>
      <w:r w:rsidR="00D931D3">
        <w:rPr>
          <w:color w:val="000000"/>
          <w:sz w:val="22"/>
          <w:szCs w:val="22"/>
        </w:rPr>
        <w:t xml:space="preserve">Y. </w:t>
      </w:r>
      <w:r>
        <w:rPr>
          <w:color w:val="000000"/>
          <w:sz w:val="22"/>
          <w:szCs w:val="22"/>
        </w:rPr>
        <w:t>Yakimov str. Burgas, Burgas District, Bulgaria</w:t>
      </w:r>
      <w:r>
        <w:rPr>
          <w:color w:val="000000"/>
          <w:szCs w:val="24"/>
        </w:rPr>
        <w:t xml:space="preserve"> and is published on the website of the </w:t>
      </w:r>
      <w:r w:rsidRPr="00CD4A03">
        <w:rPr>
          <w:color w:val="000000"/>
          <w:szCs w:val="24"/>
        </w:rPr>
        <w:t xml:space="preserve">Contracting authority with address: </w:t>
      </w:r>
      <w:hyperlink r:id="rId10" w:tgtFrame="_blank" w:history="1">
        <w:r w:rsidR="00DE360A" w:rsidRPr="00CD4A03">
          <w:rPr>
            <w:rStyle w:val="Hyperlink"/>
            <w:color w:val="1155CC"/>
            <w:sz w:val="22"/>
            <w:szCs w:val="22"/>
            <w:shd w:val="clear" w:color="auto" w:fill="FFFFFF"/>
          </w:rPr>
          <w:t>https://www.btu.bg/index.php/bg/obsht-porachki-bg-m/profil-na-kupuvacha-m-bg/7-bulgarian-bg/841-blue-growth-computers-bg</w:t>
        </w:r>
      </w:hyperlink>
      <w:r w:rsidRPr="00CD4A03">
        <w:rPr>
          <w:color w:val="000000"/>
          <w:sz w:val="22"/>
          <w:szCs w:val="22"/>
        </w:rPr>
        <w:t xml:space="preserve"> </w:t>
      </w:r>
      <w:r w:rsidRPr="00CD4A03">
        <w:rPr>
          <w:color w:val="000000"/>
          <w:szCs w:val="24"/>
        </w:rPr>
        <w:t xml:space="preserve"> and on the website of the Programme with address: </w:t>
      </w:r>
      <w:hyperlink r:id="rId11">
        <w:r w:rsidRPr="00CD4A03">
          <w:rPr>
            <w:color w:val="0000FF"/>
            <w:szCs w:val="24"/>
            <w:u w:val="single"/>
          </w:rPr>
          <w:t>http://www.ipacbc-bgtr.eu/bg/public-tenders</w:t>
        </w:r>
      </w:hyperlink>
      <w:r w:rsidRPr="00CD4A03">
        <w:rPr>
          <w:color w:val="000000"/>
          <w:szCs w:val="24"/>
        </w:rPr>
        <w:t xml:space="preserve">. </w:t>
      </w:r>
    </w:p>
    <w:p w14:paraId="77FE8764" w14:textId="77777777" w:rsidR="00D549D1" w:rsidRPr="00CD4A03" w:rsidRDefault="002106F0" w:rsidP="00CD4A03">
      <w:pPr>
        <w:pBdr>
          <w:top w:val="nil"/>
          <w:left w:val="nil"/>
          <w:bottom w:val="nil"/>
          <w:right w:val="nil"/>
          <w:between w:val="nil"/>
        </w:pBdr>
        <w:ind w:right="-48"/>
        <w:jc w:val="both"/>
        <w:rPr>
          <w:color w:val="000000"/>
          <w:sz w:val="22"/>
          <w:szCs w:val="22"/>
        </w:rPr>
      </w:pPr>
      <w:r w:rsidRPr="00CD4A03">
        <w:rPr>
          <w:color w:val="000000"/>
          <w:sz w:val="22"/>
          <w:szCs w:val="22"/>
        </w:rPr>
        <w:t xml:space="preserve">Tenders must be submitted using the standard tender form included in the tender dossier, whose format and instructions must be strictly observed. </w:t>
      </w:r>
    </w:p>
    <w:p w14:paraId="7A9CEE80" w14:textId="60641577" w:rsidR="00D549D1" w:rsidRPr="00CD4A03" w:rsidRDefault="002106F0" w:rsidP="00CD4A03">
      <w:pPr>
        <w:pBdr>
          <w:top w:val="nil"/>
          <w:left w:val="nil"/>
          <w:bottom w:val="nil"/>
          <w:right w:val="nil"/>
          <w:between w:val="nil"/>
        </w:pBdr>
        <w:jc w:val="both"/>
        <w:rPr>
          <w:color w:val="000000"/>
          <w:sz w:val="22"/>
          <w:szCs w:val="22"/>
        </w:rPr>
      </w:pPr>
      <w:r w:rsidRPr="00CD4A03">
        <w:rPr>
          <w:color w:val="000000"/>
          <w:sz w:val="22"/>
          <w:szCs w:val="22"/>
        </w:rPr>
        <w:t xml:space="preserve">Any request for additional information must be made in writing through the following email </w:t>
      </w:r>
      <w:hyperlink r:id="rId12">
        <w:r w:rsidRPr="00CD4A03">
          <w:rPr>
            <w:color w:val="0000FF"/>
            <w:sz w:val="22"/>
            <w:szCs w:val="22"/>
            <w:u w:val="single"/>
          </w:rPr>
          <w:t>sgenieva@btu.bg</w:t>
        </w:r>
      </w:hyperlink>
      <w:r w:rsidRPr="00CD4A03">
        <w:rPr>
          <w:color w:val="000000"/>
          <w:sz w:val="22"/>
          <w:szCs w:val="22"/>
        </w:rPr>
        <w:t xml:space="preserve">  at the latest 21 days before the deadline for submission </w:t>
      </w:r>
      <w:r w:rsidR="00D931D3" w:rsidRPr="00CD4A03">
        <w:rPr>
          <w:sz w:val="22"/>
          <w:szCs w:val="22"/>
          <w:lang w:val="en-GB"/>
        </w:rPr>
        <w:t>of tenders given in item ‘</w:t>
      </w:r>
      <w:r w:rsidR="00D931D3" w:rsidRPr="00CD4A03">
        <w:rPr>
          <w:rStyle w:val="Strong"/>
          <w:b w:val="0"/>
          <w:sz w:val="22"/>
          <w:szCs w:val="22"/>
          <w:lang w:val="en-GB"/>
        </w:rPr>
        <w:t>Deadline for submission of tenders’</w:t>
      </w:r>
      <w:r w:rsidR="00D931D3" w:rsidRPr="00CD4A03">
        <w:rPr>
          <w:sz w:val="22"/>
          <w:szCs w:val="22"/>
          <w:lang w:val="en-GB"/>
        </w:rPr>
        <w:t>.</w:t>
      </w:r>
    </w:p>
    <w:p w14:paraId="7176A958" w14:textId="3AFDE9E2" w:rsidR="00D549D1" w:rsidRPr="00CD4A03" w:rsidRDefault="002106F0" w:rsidP="00CD4A03">
      <w:pPr>
        <w:pBdr>
          <w:top w:val="nil"/>
          <w:left w:val="nil"/>
          <w:bottom w:val="nil"/>
          <w:right w:val="nil"/>
          <w:between w:val="nil"/>
        </w:pBdr>
        <w:jc w:val="both"/>
        <w:rPr>
          <w:color w:val="000000"/>
          <w:sz w:val="22"/>
          <w:szCs w:val="22"/>
        </w:rPr>
      </w:pPr>
      <w:r w:rsidRPr="00CD4A03">
        <w:rPr>
          <w:color w:val="000000"/>
          <w:sz w:val="22"/>
          <w:szCs w:val="22"/>
        </w:rPr>
        <w:t xml:space="preserve">Clarifications will be published </w:t>
      </w:r>
      <w:r w:rsidR="00D931D3" w:rsidRPr="00CD4A03">
        <w:rPr>
          <w:color w:val="000000"/>
          <w:sz w:val="22"/>
          <w:szCs w:val="22"/>
        </w:rPr>
        <w:t xml:space="preserve">at the latest 11 days before the submission deadline </w:t>
      </w:r>
      <w:r w:rsidRPr="00CD4A03">
        <w:rPr>
          <w:color w:val="000000"/>
          <w:sz w:val="22"/>
          <w:szCs w:val="22"/>
        </w:rPr>
        <w:t xml:space="preserve">on website of the Contracting authority with address: https://www.btu.bg/index.php/bg/obsht-porachki-bg-m/profil-na-kupuvacha-m-bg/7-bulgarian-bg/834-public-procurement-blue-growth-bg and on the website of the Programme with address: http://www.ipacbc-bgtr.eu/bg/public-tenders.  </w:t>
      </w:r>
    </w:p>
    <w:p w14:paraId="704B971E" w14:textId="77777777" w:rsidR="00D549D1" w:rsidRPr="00CD4A03" w:rsidRDefault="002106F0">
      <w:pPr>
        <w:numPr>
          <w:ilvl w:val="0"/>
          <w:numId w:val="1"/>
        </w:numPr>
        <w:pBdr>
          <w:top w:val="nil"/>
          <w:left w:val="nil"/>
          <w:bottom w:val="nil"/>
          <w:right w:val="nil"/>
          <w:between w:val="nil"/>
        </w:pBdr>
        <w:ind w:left="426" w:hanging="426"/>
        <w:rPr>
          <w:b/>
          <w:color w:val="000000"/>
          <w:sz w:val="22"/>
          <w:szCs w:val="22"/>
        </w:rPr>
      </w:pPr>
      <w:r w:rsidRPr="00CD4A03">
        <w:rPr>
          <w:b/>
          <w:color w:val="000000"/>
          <w:sz w:val="22"/>
          <w:szCs w:val="22"/>
        </w:rPr>
        <w:t>Tender opening session</w:t>
      </w:r>
    </w:p>
    <w:p w14:paraId="1EF1475F" w14:textId="7A986C3D" w:rsidR="00D549D1" w:rsidRDefault="00E06D42">
      <w:pPr>
        <w:pBdr>
          <w:top w:val="nil"/>
          <w:left w:val="nil"/>
          <w:bottom w:val="nil"/>
          <w:right w:val="nil"/>
          <w:between w:val="nil"/>
        </w:pBdr>
        <w:ind w:left="426"/>
        <w:rPr>
          <w:color w:val="000000"/>
          <w:sz w:val="22"/>
          <w:szCs w:val="22"/>
        </w:rPr>
      </w:pPr>
      <w:r w:rsidRPr="00CD4A03">
        <w:rPr>
          <w:color w:val="000000"/>
          <w:sz w:val="22"/>
          <w:szCs w:val="22"/>
        </w:rPr>
        <w:t>08/11</w:t>
      </w:r>
      <w:r w:rsidR="002106F0" w:rsidRPr="00CD4A03">
        <w:rPr>
          <w:color w:val="000000"/>
          <w:sz w:val="22"/>
          <w:szCs w:val="22"/>
        </w:rPr>
        <w:t xml:space="preserve">/2021, “Prof. D-r Asen Zlatarov” University of Burgas with address: 1 Prof. </w:t>
      </w:r>
      <w:r w:rsidR="00D931D3" w:rsidRPr="00CD4A03">
        <w:rPr>
          <w:color w:val="000000"/>
          <w:sz w:val="22"/>
          <w:szCs w:val="22"/>
        </w:rPr>
        <w:t xml:space="preserve">Y. </w:t>
      </w:r>
      <w:r w:rsidR="002106F0" w:rsidRPr="00CD4A03">
        <w:rPr>
          <w:color w:val="000000"/>
          <w:sz w:val="22"/>
          <w:szCs w:val="22"/>
        </w:rPr>
        <w:t>Yakimov str. Burgas, Burgas District, Bulgaria</w:t>
      </w:r>
      <w:r w:rsidR="00D931D3" w:rsidRPr="00CD4A03">
        <w:rPr>
          <w:color w:val="000000"/>
          <w:sz w:val="22"/>
          <w:szCs w:val="22"/>
        </w:rPr>
        <w:t>, Administrative building</w:t>
      </w:r>
    </w:p>
    <w:p w14:paraId="5B7EF47E" w14:textId="3AA6A18E" w:rsidR="00D549D1" w:rsidRDefault="002106F0" w:rsidP="00CD4A03">
      <w:pPr>
        <w:pStyle w:val="ListParagraph"/>
        <w:numPr>
          <w:ilvl w:val="0"/>
          <w:numId w:val="1"/>
        </w:numPr>
        <w:ind w:hanging="567"/>
      </w:pPr>
      <w:r>
        <w:rPr>
          <w:b/>
        </w:rPr>
        <w:t xml:space="preserve">Applications format and details to be provided </w:t>
      </w:r>
    </w:p>
    <w:p w14:paraId="491951E1" w14:textId="447D6396" w:rsidR="00D549D1" w:rsidRDefault="002106F0">
      <w:pPr>
        <w:pBdr>
          <w:top w:val="nil"/>
          <w:left w:val="nil"/>
          <w:bottom w:val="nil"/>
          <w:right w:val="nil"/>
          <w:between w:val="nil"/>
        </w:pBdr>
        <w:ind w:left="426"/>
        <w:rPr>
          <w:color w:val="000000"/>
          <w:sz w:val="22"/>
          <w:szCs w:val="22"/>
        </w:rPr>
      </w:pPr>
      <w:r>
        <w:rPr>
          <w:color w:val="000000"/>
          <w:sz w:val="22"/>
          <w:szCs w:val="22"/>
        </w:rPr>
        <w:t xml:space="preserve">Applications must be submitted using the standard application form, the </w:t>
      </w:r>
      <w:proofErr w:type="gramStart"/>
      <w:r>
        <w:rPr>
          <w:color w:val="000000"/>
          <w:sz w:val="22"/>
          <w:szCs w:val="22"/>
        </w:rPr>
        <w:t>format</w:t>
      </w:r>
      <w:proofErr w:type="gramEnd"/>
      <w:r>
        <w:rPr>
          <w:color w:val="000000"/>
          <w:sz w:val="22"/>
          <w:szCs w:val="22"/>
        </w:rPr>
        <w:t xml:space="preserve"> and instructions of which must be strictly observed. The application form is available from the following Internet address: </w:t>
      </w:r>
      <w:hyperlink r:id="rId13">
        <w:r>
          <w:rPr>
            <w:color w:val="0000FF"/>
            <w:sz w:val="22"/>
            <w:szCs w:val="22"/>
            <w:u w:val="single"/>
          </w:rPr>
          <w:t>https://ec.europa.eu/europeaid/prag/document.do?isAnnexes=true</w:t>
        </w:r>
      </w:hyperlink>
      <w:r>
        <w:rPr>
          <w:color w:val="000000"/>
          <w:sz w:val="22"/>
          <w:szCs w:val="22"/>
        </w:rPr>
        <w:t xml:space="preserve"> </w:t>
      </w:r>
    </w:p>
    <w:p w14:paraId="683E9113" w14:textId="19623C0C" w:rsidR="00D549D1" w:rsidRDefault="002106F0" w:rsidP="00CD4A03">
      <w:pPr>
        <w:pBdr>
          <w:top w:val="nil"/>
          <w:left w:val="nil"/>
          <w:bottom w:val="nil"/>
          <w:right w:val="nil"/>
          <w:between w:val="nil"/>
        </w:pBdr>
        <w:ind w:left="426" w:right="-48"/>
        <w:jc w:val="both"/>
        <w:rPr>
          <w:color w:val="000000"/>
          <w:sz w:val="22"/>
          <w:szCs w:val="22"/>
        </w:rPr>
      </w:pPr>
      <w:r>
        <w:rPr>
          <w:color w:val="000000"/>
          <w:sz w:val="22"/>
          <w:szCs w:val="22"/>
        </w:rPr>
        <w:t>The application must be accompanied by a declaration on honour on exclusion and selection criteria using the template available from the following Internet address:</w:t>
      </w:r>
      <w:r w:rsidR="00D931D3">
        <w:rPr>
          <w:color w:val="000000"/>
          <w:sz w:val="22"/>
          <w:szCs w:val="22"/>
        </w:rPr>
        <w:t xml:space="preserve"> </w:t>
      </w:r>
      <w:hyperlink r:id="rId14">
        <w:r>
          <w:rPr>
            <w:color w:val="0000FF"/>
            <w:sz w:val="22"/>
            <w:szCs w:val="22"/>
            <w:u w:val="single"/>
          </w:rPr>
          <w:t>https://ec.europa.eu/europeaid/prag/document.do?isAnnexes=true</w:t>
        </w:r>
      </w:hyperlink>
    </w:p>
    <w:p w14:paraId="435078EB" w14:textId="77777777" w:rsidR="00D549D1" w:rsidRDefault="002106F0">
      <w:pPr>
        <w:pBdr>
          <w:top w:val="nil"/>
          <w:left w:val="nil"/>
          <w:bottom w:val="nil"/>
          <w:right w:val="nil"/>
          <w:between w:val="nil"/>
        </w:pBdr>
        <w:ind w:left="426"/>
        <w:jc w:val="both"/>
        <w:rPr>
          <w:color w:val="000000"/>
          <w:sz w:val="22"/>
          <w:szCs w:val="22"/>
        </w:rPr>
      </w:pPr>
      <w:r>
        <w:rPr>
          <w:color w:val="000000"/>
          <w:sz w:val="22"/>
          <w:szCs w:val="22"/>
        </w:rPr>
        <w:t xml:space="preserve">Any documentation (brochure, letter, etc.) sent with an application in addition to what has been requested will not be taken into consideration. </w:t>
      </w:r>
    </w:p>
    <w:p w14:paraId="013BA23F" w14:textId="77777777" w:rsidR="00D549D1" w:rsidRDefault="002106F0">
      <w:pPr>
        <w:numPr>
          <w:ilvl w:val="0"/>
          <w:numId w:val="1"/>
        </w:numPr>
        <w:pBdr>
          <w:top w:val="nil"/>
          <w:left w:val="nil"/>
          <w:bottom w:val="nil"/>
          <w:right w:val="nil"/>
          <w:between w:val="nil"/>
        </w:pBdr>
        <w:ind w:left="426" w:hanging="426"/>
        <w:jc w:val="both"/>
        <w:rPr>
          <w:b/>
          <w:color w:val="000000"/>
          <w:sz w:val="22"/>
          <w:szCs w:val="22"/>
        </w:rPr>
      </w:pPr>
      <w:r>
        <w:rPr>
          <w:b/>
          <w:color w:val="000000"/>
          <w:sz w:val="22"/>
          <w:szCs w:val="22"/>
        </w:rPr>
        <w:t xml:space="preserve">How applications may be submitted </w:t>
      </w:r>
    </w:p>
    <w:p w14:paraId="67CBFA50" w14:textId="77777777" w:rsidR="00D549D1" w:rsidRDefault="002106F0">
      <w:pPr>
        <w:ind w:left="426"/>
        <w:jc w:val="both"/>
        <w:rPr>
          <w:sz w:val="22"/>
          <w:szCs w:val="22"/>
        </w:rPr>
      </w:pPr>
      <w:r>
        <w:rPr>
          <w:sz w:val="22"/>
          <w:szCs w:val="22"/>
        </w:rPr>
        <w:t>Applications must be submitted in English exclusively to the contracting authority in a sealed envelope.</w:t>
      </w:r>
    </w:p>
    <w:p w14:paraId="174ECE72" w14:textId="68A667EE" w:rsidR="00D549D1" w:rsidRDefault="002106F0">
      <w:pPr>
        <w:numPr>
          <w:ilvl w:val="0"/>
          <w:numId w:val="3"/>
        </w:numPr>
        <w:rPr>
          <w:sz w:val="22"/>
          <w:szCs w:val="22"/>
        </w:rPr>
      </w:pPr>
      <w:r>
        <w:rPr>
          <w:sz w:val="22"/>
          <w:szCs w:val="22"/>
        </w:rPr>
        <w:t xml:space="preserve">Either by post or by courier service, in which case the evidence shall be constituted by the postmark or the date of the deposit slip, to: </w:t>
      </w:r>
    </w:p>
    <w:p w14:paraId="4552A243" w14:textId="52EE11EA" w:rsidR="00D549D1" w:rsidRDefault="002106F0">
      <w:pPr>
        <w:ind w:left="1069"/>
        <w:rPr>
          <w:sz w:val="22"/>
          <w:szCs w:val="22"/>
        </w:rPr>
      </w:pPr>
      <w:r>
        <w:rPr>
          <w:sz w:val="22"/>
          <w:szCs w:val="22"/>
        </w:rPr>
        <w:t xml:space="preserve">“Prof. D-r Asen Zlatarov” University, 1 Prof. </w:t>
      </w:r>
      <w:r w:rsidR="00D931D3">
        <w:rPr>
          <w:sz w:val="22"/>
          <w:szCs w:val="22"/>
        </w:rPr>
        <w:t xml:space="preserve">Y. </w:t>
      </w:r>
      <w:r>
        <w:rPr>
          <w:sz w:val="22"/>
          <w:szCs w:val="22"/>
        </w:rPr>
        <w:t>Yakimov str., 8000 Burgas, Bulgaria</w:t>
      </w:r>
    </w:p>
    <w:p w14:paraId="0E27BCAF" w14:textId="2AD762D2" w:rsidR="00D549D1" w:rsidRPr="00CD4A03" w:rsidRDefault="009A57B9" w:rsidP="00CD4A03">
      <w:pPr>
        <w:pStyle w:val="ListParagraph"/>
        <w:numPr>
          <w:ilvl w:val="0"/>
          <w:numId w:val="3"/>
        </w:numPr>
        <w:rPr>
          <w:sz w:val="22"/>
          <w:szCs w:val="22"/>
        </w:rPr>
      </w:pPr>
      <w:r>
        <w:rPr>
          <w:sz w:val="22"/>
          <w:szCs w:val="22"/>
        </w:rPr>
        <w:t xml:space="preserve">OR </w:t>
      </w:r>
      <w:r w:rsidR="002106F0" w:rsidRPr="00CD4A03">
        <w:rPr>
          <w:sz w:val="22"/>
          <w:szCs w:val="22"/>
        </w:rPr>
        <w:t>hand delivered by the participant in person or by an agent</w:t>
      </w:r>
      <w:r w:rsidR="002106F0">
        <w:t xml:space="preserve"> directly</w:t>
      </w:r>
      <w:r w:rsidR="002106F0" w:rsidRPr="00CD4A03">
        <w:rPr>
          <w:sz w:val="22"/>
          <w:szCs w:val="22"/>
        </w:rPr>
        <w:t xml:space="preserve"> to the premises of the contracting authority in return for a </w:t>
      </w:r>
      <w:r w:rsidR="002106F0">
        <w:t>signed and dated receipt</w:t>
      </w:r>
      <w:r w:rsidR="002106F0" w:rsidRPr="00CD4A03">
        <w:rPr>
          <w:sz w:val="22"/>
          <w:szCs w:val="22"/>
        </w:rPr>
        <w:t>, in which case the evidence shall be constituted by this acknowledgement of receipt they should be delivered to the following address:</w:t>
      </w:r>
    </w:p>
    <w:p w14:paraId="257E3EF9" w14:textId="04DFB45D" w:rsidR="00D549D1" w:rsidRDefault="002106F0">
      <w:pPr>
        <w:ind w:left="1069"/>
        <w:rPr>
          <w:sz w:val="22"/>
          <w:szCs w:val="22"/>
        </w:rPr>
      </w:pPr>
      <w:r>
        <w:rPr>
          <w:sz w:val="22"/>
          <w:szCs w:val="22"/>
        </w:rPr>
        <w:t xml:space="preserve">“Prof. D-r Asen Zlatarov” University, 1 Prof. </w:t>
      </w:r>
      <w:r w:rsidR="00D931D3">
        <w:rPr>
          <w:sz w:val="22"/>
          <w:szCs w:val="22"/>
        </w:rPr>
        <w:t xml:space="preserve">Y. </w:t>
      </w:r>
      <w:r>
        <w:rPr>
          <w:sz w:val="22"/>
          <w:szCs w:val="22"/>
        </w:rPr>
        <w:t>Yakimov str., 8000 Burgas, Bulgaria</w:t>
      </w:r>
    </w:p>
    <w:p w14:paraId="77428F2D" w14:textId="77777777" w:rsidR="00D549D1" w:rsidRDefault="002106F0">
      <w:pPr>
        <w:ind w:left="1069"/>
        <w:rPr>
          <w:sz w:val="22"/>
          <w:szCs w:val="22"/>
        </w:rPr>
      </w:pPr>
      <w:r>
        <w:rPr>
          <w:sz w:val="22"/>
          <w:szCs w:val="22"/>
        </w:rPr>
        <w:lastRenderedPageBreak/>
        <w:t>From 9.00-17.00</w:t>
      </w:r>
    </w:p>
    <w:p w14:paraId="4F7B9E71" w14:textId="77777777" w:rsidR="00D549D1" w:rsidRDefault="002106F0">
      <w:pPr>
        <w:ind w:left="426"/>
        <w:jc w:val="both"/>
        <w:rPr>
          <w:sz w:val="22"/>
          <w:szCs w:val="22"/>
        </w:rPr>
      </w:pPr>
      <w:r>
        <w:rPr>
          <w:sz w:val="22"/>
          <w:szCs w:val="22"/>
        </w:rPr>
        <w:t xml:space="preserve">The contract title and publication reference (see contract notice) must be clearly marked on the envelope containing the application and must always be mentioned in all subsequent correspondence with the contracting authority. </w:t>
      </w:r>
    </w:p>
    <w:p w14:paraId="547A40DF" w14:textId="77777777" w:rsidR="00D549D1" w:rsidRDefault="002106F0">
      <w:pPr>
        <w:tabs>
          <w:tab w:val="left" w:pos="426"/>
        </w:tabs>
        <w:ind w:left="426"/>
        <w:jc w:val="both"/>
        <w:rPr>
          <w:sz w:val="22"/>
          <w:szCs w:val="22"/>
        </w:rPr>
      </w:pPr>
      <w:r>
        <w:rPr>
          <w:sz w:val="22"/>
          <w:szCs w:val="22"/>
        </w:rPr>
        <w:t xml:space="preserve">Applications submitted by any other means will not be considered. </w:t>
      </w:r>
    </w:p>
    <w:p w14:paraId="71179376" w14:textId="77777777" w:rsidR="00D549D1" w:rsidRDefault="002106F0">
      <w:pPr>
        <w:tabs>
          <w:tab w:val="left" w:pos="426"/>
        </w:tabs>
        <w:ind w:left="426"/>
        <w:jc w:val="both"/>
        <w:rPr>
          <w:sz w:val="22"/>
          <w:szCs w:val="22"/>
        </w:rPr>
      </w:pPr>
      <w:r>
        <w:rPr>
          <w:sz w:val="22"/>
          <w:szCs w:val="22"/>
        </w:rPr>
        <w:t xml:space="preserve">By </w:t>
      </w:r>
      <w:proofErr w:type="gramStart"/>
      <w:r>
        <w:rPr>
          <w:sz w:val="22"/>
          <w:szCs w:val="22"/>
        </w:rPr>
        <w:t>submitting an application</w:t>
      </w:r>
      <w:proofErr w:type="gramEnd"/>
      <w:r w:rsidR="00DE360A">
        <w:rPr>
          <w:sz w:val="22"/>
          <w:szCs w:val="22"/>
          <w:lang w:val="bg-BG"/>
        </w:rPr>
        <w:t xml:space="preserve">, </w:t>
      </w:r>
      <w:r>
        <w:rPr>
          <w:sz w:val="22"/>
          <w:szCs w:val="22"/>
        </w:rPr>
        <w:t xml:space="preserve">candidates accept to receive notification of the outcome of the procedure by electronic means. Such notification shall be deemed to have been received on the date upon which the contracting authority sends it to the electronic address referred to in the application form. </w:t>
      </w:r>
    </w:p>
    <w:p w14:paraId="3080F7A6" w14:textId="77777777" w:rsidR="00D549D1" w:rsidRDefault="002106F0">
      <w:pPr>
        <w:numPr>
          <w:ilvl w:val="0"/>
          <w:numId w:val="1"/>
        </w:numPr>
        <w:pBdr>
          <w:top w:val="nil"/>
          <w:left w:val="nil"/>
          <w:bottom w:val="nil"/>
          <w:right w:val="nil"/>
          <w:between w:val="nil"/>
        </w:pBdr>
        <w:ind w:hanging="567"/>
        <w:rPr>
          <w:color w:val="000000"/>
          <w:sz w:val="22"/>
          <w:szCs w:val="22"/>
        </w:rPr>
      </w:pPr>
      <w:r>
        <w:rPr>
          <w:b/>
          <w:color w:val="000000"/>
          <w:szCs w:val="24"/>
        </w:rPr>
        <w:t>Deadline for submission of applications</w:t>
      </w:r>
    </w:p>
    <w:p w14:paraId="5EA976CA" w14:textId="77777777" w:rsidR="00D549D1" w:rsidRDefault="002106F0">
      <w:pPr>
        <w:pBdr>
          <w:top w:val="nil"/>
          <w:left w:val="nil"/>
          <w:bottom w:val="nil"/>
          <w:right w:val="nil"/>
          <w:between w:val="nil"/>
        </w:pBdr>
        <w:ind w:left="426"/>
        <w:jc w:val="both"/>
        <w:rPr>
          <w:color w:val="000000"/>
          <w:szCs w:val="24"/>
        </w:rPr>
      </w:pPr>
      <w:r>
        <w:rPr>
          <w:color w:val="000000"/>
          <w:sz w:val="22"/>
          <w:szCs w:val="22"/>
        </w:rPr>
        <w:t>The candidate’s attention is drawn to the fact that there are two different systems for sending applications: one is by post or private mail service, the other is by hand delivery.</w:t>
      </w:r>
    </w:p>
    <w:p w14:paraId="263F1B45" w14:textId="77777777" w:rsidR="00D549D1" w:rsidRDefault="002106F0">
      <w:pPr>
        <w:pBdr>
          <w:top w:val="nil"/>
          <w:left w:val="nil"/>
          <w:bottom w:val="nil"/>
          <w:right w:val="nil"/>
          <w:between w:val="nil"/>
        </w:pBdr>
        <w:ind w:left="426"/>
        <w:jc w:val="both"/>
        <w:rPr>
          <w:color w:val="000000"/>
          <w:sz w:val="22"/>
          <w:szCs w:val="22"/>
        </w:rPr>
      </w:pPr>
      <w:r>
        <w:rPr>
          <w:color w:val="000000"/>
          <w:sz w:val="22"/>
          <w:szCs w:val="22"/>
        </w:rPr>
        <w:t>In the first case, the application must be sent before the date and time limit for submission, as evidenced by the postmark or deposit slip</w:t>
      </w:r>
      <w:r>
        <w:rPr>
          <w:color w:val="000000"/>
          <w:sz w:val="22"/>
          <w:szCs w:val="22"/>
          <w:vertAlign w:val="superscript"/>
        </w:rPr>
        <w:footnoteReference w:id="1"/>
      </w:r>
      <w:r>
        <w:rPr>
          <w:color w:val="000000"/>
          <w:sz w:val="22"/>
          <w:szCs w:val="22"/>
        </w:rPr>
        <w:t>, but in the second case it is the acknowledgment of receipt given at the time of the delivery of the application that will serve as proof.</w:t>
      </w:r>
    </w:p>
    <w:p w14:paraId="5E05F185" w14:textId="77777777" w:rsidR="00D549D1" w:rsidRDefault="002106F0">
      <w:pPr>
        <w:pBdr>
          <w:top w:val="nil"/>
          <w:left w:val="nil"/>
          <w:bottom w:val="nil"/>
          <w:right w:val="nil"/>
          <w:between w:val="nil"/>
        </w:pBdr>
        <w:ind w:left="426"/>
        <w:jc w:val="both"/>
        <w:rPr>
          <w:b/>
          <w:color w:val="000000"/>
          <w:sz w:val="22"/>
          <w:szCs w:val="22"/>
        </w:rPr>
      </w:pPr>
      <w:r>
        <w:rPr>
          <w:b/>
          <w:color w:val="000000"/>
          <w:sz w:val="22"/>
          <w:szCs w:val="22"/>
        </w:rPr>
        <w:t>The deadline for submission of applications can be found in the Contract Notice under IV.2.2.</w:t>
      </w:r>
    </w:p>
    <w:p w14:paraId="57C15706" w14:textId="77777777" w:rsidR="00D549D1" w:rsidRDefault="002106F0">
      <w:pPr>
        <w:pBdr>
          <w:top w:val="nil"/>
          <w:left w:val="nil"/>
          <w:bottom w:val="nil"/>
          <w:right w:val="nil"/>
          <w:between w:val="nil"/>
        </w:pBdr>
        <w:ind w:left="426"/>
        <w:jc w:val="both"/>
        <w:rPr>
          <w:color w:val="000000"/>
          <w:sz w:val="22"/>
          <w:szCs w:val="22"/>
        </w:rPr>
      </w:pPr>
      <w:r>
        <w:rPr>
          <w:color w:val="000000"/>
          <w:sz w:val="22"/>
          <w:szCs w:val="22"/>
        </w:rPr>
        <w:t>Any application sent to the contracting authority after this deadline will not be considered.</w:t>
      </w:r>
    </w:p>
    <w:p w14:paraId="2F345434" w14:textId="77777777" w:rsidR="00D549D1" w:rsidRDefault="002106F0">
      <w:pPr>
        <w:pBdr>
          <w:top w:val="nil"/>
          <w:left w:val="nil"/>
          <w:bottom w:val="nil"/>
          <w:right w:val="nil"/>
          <w:between w:val="nil"/>
        </w:pBdr>
        <w:ind w:left="426"/>
        <w:jc w:val="both"/>
        <w:rPr>
          <w:color w:val="000000"/>
          <w:szCs w:val="24"/>
        </w:rPr>
      </w:pPr>
      <w:r>
        <w:rPr>
          <w:color w:val="000000"/>
          <w:sz w:val="22"/>
          <w:szCs w:val="22"/>
        </w:rPr>
        <w:t>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jeopardise</w:t>
      </w:r>
      <w:r>
        <w:rPr>
          <w:color w:val="000000"/>
          <w:szCs w:val="24"/>
        </w:rPr>
        <w:t xml:space="preserve"> </w:t>
      </w:r>
      <w:r>
        <w:rPr>
          <w:color w:val="000000"/>
          <w:sz w:val="22"/>
          <w:szCs w:val="22"/>
        </w:rPr>
        <w:t>decisions already taken and notified</w:t>
      </w:r>
      <w:r>
        <w:rPr>
          <w:color w:val="000000"/>
          <w:szCs w:val="24"/>
        </w:rPr>
        <w:t>.</w:t>
      </w:r>
    </w:p>
    <w:p w14:paraId="058F0C43" w14:textId="77777777" w:rsidR="00D549D1" w:rsidRDefault="00D549D1">
      <w:pPr>
        <w:pBdr>
          <w:top w:val="nil"/>
          <w:left w:val="nil"/>
          <w:bottom w:val="nil"/>
          <w:right w:val="nil"/>
          <w:between w:val="nil"/>
        </w:pBdr>
        <w:ind w:left="567"/>
        <w:rPr>
          <w:b/>
          <w:color w:val="000000"/>
          <w:sz w:val="22"/>
          <w:szCs w:val="22"/>
        </w:rPr>
      </w:pPr>
    </w:p>
    <w:p w14:paraId="5BD610BF" w14:textId="77777777" w:rsidR="00D549D1" w:rsidRDefault="002106F0">
      <w:pPr>
        <w:numPr>
          <w:ilvl w:val="0"/>
          <w:numId w:val="1"/>
        </w:numPr>
        <w:pBdr>
          <w:top w:val="nil"/>
          <w:left w:val="nil"/>
          <w:bottom w:val="nil"/>
          <w:right w:val="nil"/>
          <w:between w:val="nil"/>
        </w:pBdr>
        <w:ind w:left="426" w:hanging="426"/>
        <w:jc w:val="both"/>
        <w:rPr>
          <w:b/>
          <w:color w:val="000000"/>
          <w:sz w:val="22"/>
          <w:szCs w:val="22"/>
        </w:rPr>
      </w:pPr>
      <w:r>
        <w:rPr>
          <w:b/>
          <w:color w:val="000000"/>
          <w:sz w:val="22"/>
          <w:szCs w:val="22"/>
        </w:rPr>
        <w:t>Alteration or withdrawal of applications</w:t>
      </w:r>
    </w:p>
    <w:p w14:paraId="3E4D683F" w14:textId="77777777" w:rsidR="00D549D1" w:rsidRDefault="002106F0">
      <w:pPr>
        <w:ind w:left="426"/>
        <w:jc w:val="both"/>
        <w:rPr>
          <w:sz w:val="22"/>
          <w:szCs w:val="22"/>
        </w:rPr>
      </w:pPr>
      <w:r>
        <w:rPr>
          <w:sz w:val="22"/>
          <w:szCs w:val="22"/>
        </w:rPr>
        <w:t xml:space="preserve">Applicants may alter or withdraw their applications by written notification prior to the deadline for submission of applications. No applications may be altered after this deadline. </w:t>
      </w:r>
    </w:p>
    <w:p w14:paraId="3AA51234" w14:textId="46123A79" w:rsidR="00D549D1" w:rsidRDefault="002106F0">
      <w:pPr>
        <w:ind w:left="426"/>
        <w:jc w:val="both"/>
        <w:rPr>
          <w:sz w:val="22"/>
          <w:szCs w:val="22"/>
        </w:rPr>
      </w:pPr>
      <w:r>
        <w:rPr>
          <w:sz w:val="22"/>
          <w:szCs w:val="22"/>
        </w:rPr>
        <w:t>Any such notification of alteration or withdrawal shall be prepared and submitted in accordance with precedent item. The outer envelope (and the relevant inner envelope if used) must be marked ‘Alteration’ or ‘Withdrawal’ as appropriate.</w:t>
      </w:r>
    </w:p>
    <w:p w14:paraId="69B81C25" w14:textId="77777777" w:rsidR="00D549D1" w:rsidRDefault="002106F0">
      <w:pPr>
        <w:numPr>
          <w:ilvl w:val="0"/>
          <w:numId w:val="1"/>
        </w:numPr>
        <w:pBdr>
          <w:top w:val="nil"/>
          <w:left w:val="nil"/>
          <w:bottom w:val="nil"/>
          <w:right w:val="nil"/>
          <w:between w:val="nil"/>
        </w:pBdr>
        <w:ind w:left="426" w:hanging="426"/>
        <w:rPr>
          <w:b/>
          <w:color w:val="000000"/>
          <w:sz w:val="22"/>
          <w:szCs w:val="22"/>
        </w:rPr>
      </w:pPr>
      <w:r>
        <w:rPr>
          <w:b/>
          <w:color w:val="000000"/>
          <w:sz w:val="22"/>
          <w:szCs w:val="22"/>
        </w:rPr>
        <w:t>Language of the procedure</w:t>
      </w:r>
    </w:p>
    <w:p w14:paraId="571CADAD" w14:textId="77777777" w:rsidR="00D549D1" w:rsidRDefault="002106F0">
      <w:pPr>
        <w:ind w:left="426"/>
        <w:jc w:val="both"/>
        <w:rPr>
          <w:sz w:val="22"/>
          <w:szCs w:val="22"/>
        </w:rPr>
      </w:pPr>
      <w:r>
        <w:rPr>
          <w:sz w:val="22"/>
          <w:szCs w:val="22"/>
        </w:rPr>
        <w:t xml:space="preserve">All written communications for this tender procedure and contract must be in English. </w:t>
      </w:r>
    </w:p>
    <w:p w14:paraId="023FB7D1" w14:textId="77777777" w:rsidR="00D549D1" w:rsidRDefault="002106F0">
      <w:pPr>
        <w:ind w:left="426" w:hanging="426"/>
        <w:rPr>
          <w:b/>
          <w:sz w:val="22"/>
          <w:szCs w:val="22"/>
        </w:rPr>
      </w:pPr>
      <w:r>
        <w:rPr>
          <w:b/>
          <w:sz w:val="22"/>
          <w:szCs w:val="22"/>
        </w:rPr>
        <w:t>28.</w:t>
      </w:r>
      <w:r>
        <w:rPr>
          <w:b/>
          <w:sz w:val="22"/>
          <w:szCs w:val="22"/>
        </w:rPr>
        <w:tab/>
        <w:t>Legal basis</w:t>
      </w:r>
      <w:r>
        <w:rPr>
          <w:sz w:val="22"/>
          <w:szCs w:val="22"/>
          <w:vertAlign w:val="superscript"/>
        </w:rPr>
        <w:footnoteReference w:id="2"/>
      </w:r>
    </w:p>
    <w:p w14:paraId="617B8AF7" w14:textId="77777777" w:rsidR="00D549D1" w:rsidRDefault="002106F0">
      <w:pPr>
        <w:numPr>
          <w:ilvl w:val="0"/>
          <w:numId w:val="2"/>
        </w:numPr>
        <w:pBdr>
          <w:top w:val="nil"/>
          <w:left w:val="nil"/>
          <w:bottom w:val="nil"/>
          <w:right w:val="nil"/>
          <w:between w:val="nil"/>
        </w:pBdr>
        <w:tabs>
          <w:tab w:val="left" w:pos="720"/>
        </w:tabs>
        <w:ind w:left="720"/>
        <w:jc w:val="both"/>
        <w:rPr>
          <w:color w:val="000000"/>
          <w:szCs w:val="24"/>
        </w:rPr>
      </w:pPr>
      <w:r>
        <w:rPr>
          <w:color w:val="000000"/>
          <w:sz w:val="22"/>
          <w:szCs w:val="22"/>
        </w:rPr>
        <w:t>Regulation</w:t>
      </w:r>
      <w:r>
        <w:rPr>
          <w:b/>
          <w:color w:val="000000"/>
          <w:sz w:val="22"/>
          <w:szCs w:val="22"/>
        </w:rPr>
        <w:t xml:space="preserve"> </w:t>
      </w:r>
      <w:r>
        <w:rPr>
          <w:color w:val="000000"/>
          <w:sz w:val="22"/>
          <w:szCs w:val="22"/>
        </w:rPr>
        <w:t xml:space="preserve">(EU) No 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 – IPA II Regulation;  </w:t>
      </w:r>
    </w:p>
    <w:p w14:paraId="5B8F0EDB" w14:textId="77777777" w:rsidR="00D549D1" w:rsidRDefault="002106F0">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Commission Implementing Regulation (EU) No 447/2014 of 2 May 2014 on the specific rules for implementing Regulation (EU) No 231/2014 of the European Parliament and of the Council establishing an Instrument for Pre-accession Assistance (IPA II) - IPA II Implementing Regulation;</w:t>
      </w:r>
    </w:p>
    <w:p w14:paraId="1A39D256" w14:textId="77777777" w:rsidR="00D549D1" w:rsidRDefault="002106F0">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 xml:space="preserve">Regulation (EU) No 1299/2013 of the European Parliament and of the Council of 17 December 2013 on specific provisions for the support from the European Regional Development Fund to </w:t>
      </w:r>
      <w:r>
        <w:rPr>
          <w:color w:val="000000"/>
          <w:sz w:val="22"/>
          <w:szCs w:val="22"/>
        </w:rPr>
        <w:lastRenderedPageBreak/>
        <w:t>the European territorial cooperation goal;</w:t>
      </w:r>
    </w:p>
    <w:p w14:paraId="3746DA80" w14:textId="77777777" w:rsidR="00D549D1" w:rsidRDefault="002106F0">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 xml:space="preserve">Commission Delegated Regulation (EU) No 481/2014 of 4 March 2014 supplementing Regulation (EU) No 1299/2013 of the European Parliament and of the Council with regard to specific rules on eligibility of expenditure for cooperation </w:t>
      </w:r>
      <w:proofErr w:type="gramStart"/>
      <w:r>
        <w:rPr>
          <w:color w:val="000000"/>
          <w:sz w:val="22"/>
          <w:szCs w:val="22"/>
        </w:rPr>
        <w:t>programmes;</w:t>
      </w:r>
      <w:proofErr w:type="gramEnd"/>
    </w:p>
    <w:p w14:paraId="34392F40" w14:textId="77777777" w:rsidR="00D549D1" w:rsidRDefault="002106F0">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10D6806C" w14:textId="77777777" w:rsidR="00D549D1" w:rsidRDefault="002106F0">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10095E5E" w14:textId="77777777" w:rsidR="00D549D1" w:rsidRDefault="002106F0">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5275F94A" w14:textId="445A1F2E" w:rsidR="00D549D1" w:rsidRDefault="002106F0">
      <w:pPr>
        <w:numPr>
          <w:ilvl w:val="0"/>
          <w:numId w:val="2"/>
        </w:numPr>
        <w:pBdr>
          <w:top w:val="nil"/>
          <w:left w:val="nil"/>
          <w:bottom w:val="nil"/>
          <w:right w:val="nil"/>
          <w:between w:val="nil"/>
        </w:pBdr>
        <w:tabs>
          <w:tab w:val="left" w:pos="720"/>
        </w:tabs>
        <w:ind w:left="720"/>
        <w:jc w:val="both"/>
        <w:rPr>
          <w:color w:val="000000"/>
          <w:szCs w:val="24"/>
        </w:rPr>
      </w:pPr>
      <w:r>
        <w:rPr>
          <w:color w:val="000000"/>
          <w:sz w:val="22"/>
          <w:szCs w:val="22"/>
        </w:rPr>
        <w:t>Interreg-IPA CBC Programme Bulgaria-Turkey Programme 2014-2020, CCI</w:t>
      </w:r>
      <w:r w:rsidR="00DE360A">
        <w:rPr>
          <w:color w:val="000000"/>
          <w:sz w:val="22"/>
          <w:szCs w:val="22"/>
          <w:lang w:val="bg-BG"/>
        </w:rPr>
        <w:t xml:space="preserve"> </w:t>
      </w:r>
      <w:r>
        <w:rPr>
          <w:color w:val="000000"/>
          <w:sz w:val="22"/>
          <w:szCs w:val="22"/>
        </w:rPr>
        <w:t>No 014TC16I5CB005, approved by the European Commission with Decision № C (2015) 5280 of 22</w:t>
      </w:r>
      <w:r>
        <w:rPr>
          <w:color w:val="000000"/>
          <w:sz w:val="22"/>
          <w:szCs w:val="22"/>
          <w:vertAlign w:val="superscript"/>
        </w:rPr>
        <w:t>nd</w:t>
      </w:r>
      <w:r>
        <w:rPr>
          <w:color w:val="000000"/>
          <w:sz w:val="22"/>
          <w:szCs w:val="22"/>
        </w:rPr>
        <w:t xml:space="preserve"> of July 2015</w:t>
      </w:r>
      <w:r>
        <w:rPr>
          <w:color w:val="000000"/>
          <w:szCs w:val="24"/>
        </w:rPr>
        <w:t>.</w:t>
      </w:r>
    </w:p>
    <w:p w14:paraId="12E96E1E" w14:textId="77777777" w:rsidR="00D549D1" w:rsidRDefault="00D549D1">
      <w:pPr>
        <w:ind w:left="426" w:right="4"/>
        <w:jc w:val="both"/>
        <w:rPr>
          <w:sz w:val="22"/>
          <w:szCs w:val="22"/>
        </w:rPr>
      </w:pPr>
    </w:p>
    <w:p w14:paraId="20322D66" w14:textId="77777777" w:rsidR="00D549D1" w:rsidRDefault="002106F0">
      <w:pPr>
        <w:ind w:left="426" w:hanging="426"/>
        <w:rPr>
          <w:b/>
          <w:sz w:val="22"/>
          <w:szCs w:val="22"/>
        </w:rPr>
      </w:pPr>
      <w:r>
        <w:rPr>
          <w:b/>
          <w:sz w:val="22"/>
          <w:szCs w:val="22"/>
        </w:rPr>
        <w:t>29.</w:t>
      </w:r>
      <w:r>
        <w:rPr>
          <w:b/>
          <w:sz w:val="22"/>
          <w:szCs w:val="22"/>
        </w:rPr>
        <w:tab/>
        <w:t>Additional information</w:t>
      </w:r>
    </w:p>
    <w:p w14:paraId="400453E2" w14:textId="10312D3D" w:rsidR="00D549D1" w:rsidRDefault="002106F0">
      <w:pPr>
        <w:widowControl/>
        <w:spacing w:after="0"/>
        <w:ind w:left="426" w:right="360"/>
        <w:jc w:val="both"/>
        <w:rPr>
          <w:sz w:val="22"/>
          <w:szCs w:val="22"/>
        </w:rPr>
      </w:pPr>
      <w:r>
        <w:rPr>
          <w:sz w:val="22"/>
          <w:szCs w:val="22"/>
        </w:rPr>
        <w:t xml:space="preserve">Financial data to be provided by the candidate in the standard application form or the tenderer in the tender form must be expressed in EUR. If applicable, where a candidate refers to amounts originally expressed in a different currency, the conversion to EUR/ BGN  shall be made in accordance with the InforEuro exchange rate of </w:t>
      </w:r>
      <w:r w:rsidR="003F6F6F">
        <w:rPr>
          <w:sz w:val="22"/>
          <w:szCs w:val="22"/>
        </w:rPr>
        <w:t>October 2021</w:t>
      </w:r>
      <w:r>
        <w:rPr>
          <w:sz w:val="22"/>
          <w:szCs w:val="22"/>
        </w:rPr>
        <w:t xml:space="preserve">, which can be found at the following address: </w:t>
      </w:r>
      <w:hyperlink r:id="rId15">
        <w:r>
          <w:rPr>
            <w:color w:val="0000FF"/>
            <w:sz w:val="22"/>
            <w:szCs w:val="22"/>
            <w:u w:val="single"/>
          </w:rPr>
          <w:t>http://ec.europa.eu/budget/graphs/inforeuro.html</w:t>
        </w:r>
      </w:hyperlink>
      <w:r>
        <w:rPr>
          <w:sz w:val="22"/>
          <w:szCs w:val="22"/>
        </w:rPr>
        <w:t>.</w:t>
      </w:r>
    </w:p>
    <w:p w14:paraId="0112D6ED" w14:textId="77777777" w:rsidR="00D549D1" w:rsidRDefault="00D549D1">
      <w:pPr>
        <w:ind w:left="426"/>
        <w:jc w:val="both"/>
        <w:rPr>
          <w:sz w:val="22"/>
          <w:szCs w:val="22"/>
        </w:rPr>
      </w:pPr>
    </w:p>
    <w:sectPr w:rsidR="00D549D1">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D65E6C" w14:textId="77777777" w:rsidR="00F565F1" w:rsidRDefault="00F565F1">
      <w:pPr>
        <w:spacing w:before="0" w:after="0"/>
      </w:pPr>
      <w:r>
        <w:separator/>
      </w:r>
    </w:p>
  </w:endnote>
  <w:endnote w:type="continuationSeparator" w:id="0">
    <w:p w14:paraId="2793F580" w14:textId="77777777" w:rsidR="00F565F1" w:rsidRDefault="00F565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29F399" w14:textId="77777777" w:rsidR="00D549D1" w:rsidRDefault="00D549D1">
    <w:pPr>
      <w:pBdr>
        <w:top w:val="nil"/>
        <w:left w:val="nil"/>
        <w:bottom w:val="nil"/>
        <w:right w:val="nil"/>
        <w:between w:val="nil"/>
      </w:pBdr>
      <w:tabs>
        <w:tab w:val="center" w:pos="4536"/>
        <w:tab w:val="right" w:pos="9072"/>
      </w:tabs>
      <w:spacing w:before="0" w:after="0"/>
      <w:rPr>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B570E" w14:textId="77777777" w:rsidR="00D549D1" w:rsidRDefault="002106F0">
    <w:pPr>
      <w:pBdr>
        <w:top w:val="nil"/>
        <w:left w:val="nil"/>
        <w:bottom w:val="nil"/>
        <w:right w:val="nil"/>
        <w:between w:val="nil"/>
      </w:pBdr>
      <w:tabs>
        <w:tab w:val="center" w:pos="4536"/>
        <w:tab w:val="right" w:pos="9072"/>
      </w:tabs>
      <w:spacing w:before="120" w:after="0"/>
      <w:rPr>
        <w:b/>
        <w:color w:val="000000"/>
        <w:sz w:val="18"/>
        <w:szCs w:val="18"/>
      </w:rPr>
    </w:pPr>
    <w:r>
      <w:rPr>
        <w:b/>
        <w:color w:val="000000"/>
        <w:sz w:val="18"/>
        <w:szCs w:val="18"/>
      </w:rPr>
      <w:t>August 2020</w:t>
    </w:r>
  </w:p>
  <w:p w14:paraId="17F771E8" w14:textId="77777777" w:rsidR="00D549D1" w:rsidRDefault="002106F0">
    <w:pPr>
      <w:pBdr>
        <w:top w:val="nil"/>
        <w:left w:val="nil"/>
        <w:bottom w:val="nil"/>
        <w:right w:val="nil"/>
        <w:between w:val="nil"/>
      </w:pBdr>
      <w:tabs>
        <w:tab w:val="center" w:pos="4536"/>
        <w:tab w:val="right" w:pos="9072"/>
      </w:tabs>
      <w:spacing w:before="0" w:after="0"/>
      <w:rPr>
        <w:color w:val="000000"/>
        <w:sz w:val="18"/>
        <w:szCs w:val="18"/>
      </w:rPr>
    </w:pPr>
    <w:r>
      <w:rPr>
        <w:color w:val="000000"/>
        <w:sz w:val="18"/>
        <w:szCs w:val="18"/>
      </w:rPr>
      <w:t>a5f__additional_information_contract_notice_en</w:t>
    </w:r>
    <w:r>
      <w:rPr>
        <w:color w:val="000000"/>
        <w:sz w:val="18"/>
        <w:szCs w:val="18"/>
      </w:rPr>
      <w:tab/>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DE360A">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DE360A">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EE42F" w14:textId="77777777" w:rsidR="00D549D1" w:rsidRDefault="00D549D1">
    <w:pPr>
      <w:pBdr>
        <w:top w:val="nil"/>
        <w:left w:val="nil"/>
        <w:bottom w:val="nil"/>
        <w:right w:val="nil"/>
        <w:between w:val="nil"/>
      </w:pBdr>
      <w:tabs>
        <w:tab w:val="center" w:pos="4536"/>
        <w:tab w:val="right" w:pos="9072"/>
      </w:tabs>
      <w:spacing w:before="0" w:after="0"/>
      <w:rPr>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1B6A87" w14:textId="77777777" w:rsidR="00F565F1" w:rsidRDefault="00F565F1">
      <w:pPr>
        <w:spacing w:before="0" w:after="0"/>
      </w:pPr>
      <w:r>
        <w:separator/>
      </w:r>
    </w:p>
  </w:footnote>
  <w:footnote w:type="continuationSeparator" w:id="0">
    <w:p w14:paraId="766C9661" w14:textId="77777777" w:rsidR="00F565F1" w:rsidRDefault="00F565F1">
      <w:pPr>
        <w:spacing w:before="0" w:after="0"/>
      </w:pPr>
      <w:r>
        <w:continuationSeparator/>
      </w:r>
    </w:p>
  </w:footnote>
  <w:footnote w:id="1">
    <w:p w14:paraId="66EABD7F" w14:textId="77777777" w:rsidR="00D549D1" w:rsidRDefault="002106F0">
      <w:pPr>
        <w:pBdr>
          <w:top w:val="nil"/>
          <w:left w:val="nil"/>
          <w:bottom w:val="nil"/>
          <w:right w:val="nil"/>
          <w:between w:val="nil"/>
        </w:pBdr>
        <w:spacing w:before="0" w:after="0"/>
        <w:rPr>
          <w:color w:val="000000"/>
          <w:sz w:val="20"/>
        </w:rPr>
      </w:pPr>
      <w:r>
        <w:rPr>
          <w:rStyle w:val="FootnoteReference"/>
        </w:rPr>
        <w:footnoteRef/>
      </w:r>
      <w:r>
        <w:rPr>
          <w:color w:val="000000"/>
          <w:sz w:val="20"/>
        </w:rPr>
        <w:t xml:space="preserve"> It is recommended to use registered mail in case the postmark would not be readable.</w:t>
      </w:r>
    </w:p>
  </w:footnote>
  <w:footnote w:id="2">
    <w:p w14:paraId="5674965D" w14:textId="77777777" w:rsidR="00D549D1" w:rsidRDefault="002106F0">
      <w:pPr>
        <w:pBdr>
          <w:top w:val="nil"/>
          <w:left w:val="nil"/>
          <w:bottom w:val="nil"/>
          <w:right w:val="nil"/>
          <w:between w:val="nil"/>
        </w:pBdr>
        <w:spacing w:before="0" w:after="60"/>
        <w:jc w:val="both"/>
        <w:rPr>
          <w:color w:val="000000"/>
          <w:sz w:val="20"/>
        </w:rPr>
      </w:pPr>
      <w:r>
        <w:rPr>
          <w:rStyle w:val="FootnoteReference"/>
        </w:rPr>
        <w:footnoteRef/>
      </w:r>
      <w:r>
        <w:rPr>
          <w:color w:val="000000"/>
          <w:sz w:val="20"/>
        </w:rPr>
        <w:t xml:space="preserve"> 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32D6B" w14:textId="77777777" w:rsidR="00D549D1" w:rsidRDefault="00D549D1">
    <w:pPr>
      <w:pBdr>
        <w:top w:val="nil"/>
        <w:left w:val="nil"/>
        <w:bottom w:val="nil"/>
        <w:right w:val="nil"/>
        <w:between w:val="nil"/>
      </w:pBdr>
      <w:tabs>
        <w:tab w:val="center" w:pos="4536"/>
        <w:tab w:val="right" w:pos="9072"/>
      </w:tabs>
      <w:spacing w:before="0" w:after="0"/>
      <w:rPr>
        <w:color w:val="000000"/>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EAAF3" w14:textId="77777777" w:rsidR="00D549D1" w:rsidRDefault="00D549D1">
    <w:pPr>
      <w:pBdr>
        <w:top w:val="nil"/>
        <w:left w:val="nil"/>
        <w:bottom w:val="nil"/>
        <w:right w:val="nil"/>
        <w:between w:val="nil"/>
      </w:pBdr>
      <w:tabs>
        <w:tab w:val="center" w:pos="4536"/>
        <w:tab w:val="right" w:pos="9072"/>
      </w:tabs>
      <w:spacing w:before="0" w:after="0"/>
      <w:rPr>
        <w:color w:val="000000"/>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EF41D9" w14:textId="77777777" w:rsidR="00D549D1" w:rsidRDefault="00D549D1">
    <w:pPr>
      <w:pBdr>
        <w:top w:val="nil"/>
        <w:left w:val="nil"/>
        <w:bottom w:val="nil"/>
        <w:right w:val="nil"/>
        <w:between w:val="nil"/>
      </w:pBdr>
      <w:tabs>
        <w:tab w:val="center" w:pos="4536"/>
        <w:tab w:val="right" w:pos="9072"/>
      </w:tabs>
      <w:spacing w:before="0" w:after="0"/>
      <w:rPr>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3048A"/>
    <w:multiLevelType w:val="multilevel"/>
    <w:tmpl w:val="914A675A"/>
    <w:lvl w:ilvl="0">
      <w:start w:val="1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 w15:restartNumberingAfterBreak="0">
    <w:nsid w:val="1FB10EB3"/>
    <w:multiLevelType w:val="multilevel"/>
    <w:tmpl w:val="53B4883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222946D9"/>
    <w:multiLevelType w:val="multilevel"/>
    <w:tmpl w:val="6EFAE9DC"/>
    <w:lvl w:ilvl="0">
      <w:start w:val="1"/>
      <w:numFmt w:val="bullet"/>
      <w:lvlText w:val="●"/>
      <w:lvlJc w:val="left"/>
      <w:pPr>
        <w:ind w:left="1134" w:hanging="360"/>
      </w:pPr>
      <w:rPr>
        <w:rFonts w:ascii="Noto Sans Symbols" w:eastAsia="Noto Sans Symbols" w:hAnsi="Noto Sans Symbols" w:cs="Noto Sans Symbols"/>
      </w:rPr>
    </w:lvl>
    <w:lvl w:ilvl="1">
      <w:start w:val="1"/>
      <w:numFmt w:val="bullet"/>
      <w:lvlText w:val="o"/>
      <w:lvlJc w:val="left"/>
      <w:pPr>
        <w:ind w:left="1854" w:hanging="360"/>
      </w:pPr>
      <w:rPr>
        <w:rFonts w:ascii="Courier New" w:eastAsia="Courier New" w:hAnsi="Courier New" w:cs="Courier New"/>
      </w:rPr>
    </w:lvl>
    <w:lvl w:ilvl="2">
      <w:start w:val="1"/>
      <w:numFmt w:val="bullet"/>
      <w:lvlText w:val="▪"/>
      <w:lvlJc w:val="left"/>
      <w:pPr>
        <w:ind w:left="2574" w:hanging="360"/>
      </w:pPr>
      <w:rPr>
        <w:rFonts w:ascii="Noto Sans Symbols" w:eastAsia="Noto Sans Symbols" w:hAnsi="Noto Sans Symbols" w:cs="Noto Sans Symbols"/>
      </w:rPr>
    </w:lvl>
    <w:lvl w:ilvl="3">
      <w:start w:val="1"/>
      <w:numFmt w:val="bullet"/>
      <w:lvlText w:val="●"/>
      <w:lvlJc w:val="left"/>
      <w:pPr>
        <w:ind w:left="3294" w:hanging="360"/>
      </w:pPr>
      <w:rPr>
        <w:rFonts w:ascii="Noto Sans Symbols" w:eastAsia="Noto Sans Symbols" w:hAnsi="Noto Sans Symbols" w:cs="Noto Sans Symbols"/>
      </w:rPr>
    </w:lvl>
    <w:lvl w:ilvl="4">
      <w:start w:val="1"/>
      <w:numFmt w:val="bullet"/>
      <w:lvlText w:val="o"/>
      <w:lvlJc w:val="left"/>
      <w:pPr>
        <w:ind w:left="4014" w:hanging="360"/>
      </w:pPr>
      <w:rPr>
        <w:rFonts w:ascii="Courier New" w:eastAsia="Courier New" w:hAnsi="Courier New" w:cs="Courier New"/>
      </w:rPr>
    </w:lvl>
    <w:lvl w:ilvl="5">
      <w:start w:val="1"/>
      <w:numFmt w:val="bullet"/>
      <w:lvlText w:val="▪"/>
      <w:lvlJc w:val="left"/>
      <w:pPr>
        <w:ind w:left="4734" w:hanging="360"/>
      </w:pPr>
      <w:rPr>
        <w:rFonts w:ascii="Noto Sans Symbols" w:eastAsia="Noto Sans Symbols" w:hAnsi="Noto Sans Symbols" w:cs="Noto Sans Symbols"/>
      </w:rPr>
    </w:lvl>
    <w:lvl w:ilvl="6">
      <w:start w:val="1"/>
      <w:numFmt w:val="bullet"/>
      <w:lvlText w:val="●"/>
      <w:lvlJc w:val="left"/>
      <w:pPr>
        <w:ind w:left="5454" w:hanging="360"/>
      </w:pPr>
      <w:rPr>
        <w:rFonts w:ascii="Noto Sans Symbols" w:eastAsia="Noto Sans Symbols" w:hAnsi="Noto Sans Symbols" w:cs="Noto Sans Symbols"/>
      </w:rPr>
    </w:lvl>
    <w:lvl w:ilvl="7">
      <w:start w:val="1"/>
      <w:numFmt w:val="bullet"/>
      <w:lvlText w:val="o"/>
      <w:lvlJc w:val="left"/>
      <w:pPr>
        <w:ind w:left="6174" w:hanging="360"/>
      </w:pPr>
      <w:rPr>
        <w:rFonts w:ascii="Courier New" w:eastAsia="Courier New" w:hAnsi="Courier New" w:cs="Courier New"/>
      </w:rPr>
    </w:lvl>
    <w:lvl w:ilvl="8">
      <w:start w:val="1"/>
      <w:numFmt w:val="bullet"/>
      <w:lvlText w:val="▪"/>
      <w:lvlJc w:val="left"/>
      <w:pPr>
        <w:ind w:left="6894" w:hanging="360"/>
      </w:pPr>
      <w:rPr>
        <w:rFonts w:ascii="Noto Sans Symbols" w:eastAsia="Noto Sans Symbols" w:hAnsi="Noto Sans Symbols" w:cs="Noto Sans Symbols"/>
      </w:rPr>
    </w:lvl>
  </w:abstractNum>
  <w:abstractNum w:abstractNumId="3" w15:restartNumberingAfterBreak="0">
    <w:nsid w:val="25933E88"/>
    <w:multiLevelType w:val="multilevel"/>
    <w:tmpl w:val="36744748"/>
    <w:lvl w:ilvl="0">
      <w:start w:val="1"/>
      <w:numFmt w:val="decimal"/>
      <w:pStyle w:val="PRAG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12A5662"/>
    <w:multiLevelType w:val="multilevel"/>
    <w:tmpl w:val="4578801C"/>
    <w:lvl w:ilvl="0">
      <w:start w:val="1"/>
      <w:numFmt w:val="decimal"/>
      <w:lvlText w:val="%1."/>
      <w:lvlJc w:val="left"/>
      <w:pPr>
        <w:ind w:left="567" w:firstLine="0"/>
      </w:pPr>
      <w:rPr>
        <w:rFonts w:ascii="Times New Roman" w:eastAsia="Times New Roman" w:hAnsi="Times New Roman" w:cs="Times New Roman"/>
        <w:b/>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9D1"/>
    <w:rsid w:val="00120C09"/>
    <w:rsid w:val="002106F0"/>
    <w:rsid w:val="00281063"/>
    <w:rsid w:val="003B116C"/>
    <w:rsid w:val="003F6F6F"/>
    <w:rsid w:val="008108BB"/>
    <w:rsid w:val="009A57B9"/>
    <w:rsid w:val="00C9118C"/>
    <w:rsid w:val="00CD4A03"/>
    <w:rsid w:val="00D549D1"/>
    <w:rsid w:val="00D931D3"/>
    <w:rsid w:val="00DE360A"/>
    <w:rsid w:val="00E06D42"/>
    <w:rsid w:val="00F56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4E14E"/>
  <w15:docId w15:val="{07E1AEE1-CD40-4601-B813-F5F8DD03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rPr>
      <w:snapToGrid w:val="0"/>
      <w:szCs w:val="20"/>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1916FC"/>
    <w:pPr>
      <w:widowControl/>
      <w:spacing w:before="120" w:after="120"/>
      <w:ind w:left="414" w:right="-48"/>
      <w:jc w:val="both"/>
      <w:outlineLvl w:val="3"/>
    </w:pPr>
    <w:rPr>
      <w:sz w:val="22"/>
      <w:szCs w:val="22"/>
      <w:lang w:val="en-G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uiPriority w:val="20"/>
    <w:qFormat/>
    <w:rsid w:val="00EA6C7C"/>
    <w:rPr>
      <w:i/>
    </w:rPr>
  </w:style>
  <w:style w:type="character" w:styleId="Strong">
    <w:name w:val="Strong"/>
    <w:uiPriority w:val="22"/>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semiHidden/>
    <w:unhideWhenUsed/>
    <w:rsid w:val="000A4362"/>
    <w:pPr>
      <w:spacing w:before="0" w:after="0"/>
    </w:pPr>
    <w:rPr>
      <w:sz w:val="20"/>
    </w:rPr>
  </w:style>
  <w:style w:type="character" w:customStyle="1" w:styleId="FootnoteTextChar">
    <w:name w:val="Footnote Text Char"/>
    <w:basedOn w:val="DefaultParagraphFont"/>
    <w:link w:val="FootnoteText"/>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rsid w:val="000A4362"/>
    <w:rPr>
      <w:vertAlign w:val="superscript"/>
    </w:rPr>
  </w:style>
  <w:style w:type="paragraph" w:customStyle="1" w:styleId="PRAGHeading2">
    <w:name w:val="PRAG Heading 2"/>
    <w:basedOn w:val="Normal"/>
    <w:rsid w:val="00AA22A5"/>
    <w:pPr>
      <w:numPr>
        <w:numId w:val="5"/>
      </w:numPr>
    </w:pPr>
    <w:rPr>
      <w:lang w:val="fr-FR"/>
    </w:rPr>
  </w:style>
  <w:style w:type="paragraph" w:customStyle="1" w:styleId="Default">
    <w:name w:val="Default"/>
    <w:rsid w:val="00AA22A5"/>
    <w:pPr>
      <w:autoSpaceDE w:val="0"/>
      <w:autoSpaceDN w:val="0"/>
      <w:adjustRightInd w:val="0"/>
      <w:spacing w:after="0"/>
    </w:pPr>
    <w:rPr>
      <w:rFonts w:ascii="Minion Pro" w:hAnsi="Minion Pro" w:cs="Minion Pro"/>
      <w:color w:val="000000"/>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pPr>
    <w:rPr>
      <w:snapToGrid w:val="0"/>
      <w:szCs w:val="20"/>
      <w:lang w:val="en-US"/>
    </w:rPr>
  </w:style>
  <w:style w:type="paragraph" w:styleId="Subtitle">
    <w:name w:val="Subtitle"/>
    <w:basedOn w:val="Normal"/>
    <w:next w:val="Normal"/>
    <w:link w:val="SubtitleChar"/>
    <w:uiPriority w:val="11"/>
    <w:qFormat/>
    <w:pPr>
      <w:widowControl/>
      <w:spacing w:before="120" w:after="120"/>
      <w:jc w:val="center"/>
    </w:pPr>
    <w:rPr>
      <w:rFonts w:ascii="Arial" w:eastAsia="Arial" w:hAnsi="Arial" w:cs="Arial"/>
      <w:b/>
      <w:sz w:val="28"/>
      <w:szCs w:val="28"/>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character" w:customStyle="1" w:styleId="UnresolvedMention1">
    <w:name w:val="Unresolved Mention1"/>
    <w:basedOn w:val="DefaultParagraphFont"/>
    <w:uiPriority w:val="99"/>
    <w:semiHidden/>
    <w:unhideWhenUsed/>
    <w:rsid w:val="00C766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c.europa.eu/europeaid/prag/document.do?isAnnexes=tru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genieva@btu.b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acbc-bgtr.eu/bg/public-tenders" TargetMode="External"/><Relationship Id="rId5" Type="http://schemas.openxmlformats.org/officeDocument/2006/relationships/webSettings" Target="webSettings.xml"/><Relationship Id="rId15" Type="http://schemas.openxmlformats.org/officeDocument/2006/relationships/hyperlink" Target="http://ec.europa.eu/budget/graphs/inforeuro.html" TargetMode="External"/><Relationship Id="rId23" Type="http://schemas.openxmlformats.org/officeDocument/2006/relationships/theme" Target="theme/theme1.xml"/><Relationship Id="rId10" Type="http://schemas.openxmlformats.org/officeDocument/2006/relationships/hyperlink" Target="https://www.btu.bg/index.php/bg/obsht-porachki-bg-m/profil-na-kupuvacha-m-bg/7-bulgarian-bg/841-blue-growth-computers-b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c.europa.eu/europeaid/prag/document.do?isAnnexes=tru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dpDPkymmhfnYbkt2wwFsUFEJpw==">AMUW2mVN4da0du8QQRTcIPDeErltNYNRXXu8Nrq7tfMAtWa8wljJS6AZqtgpVMHLgxAsjL0VMX99zXUjICl4eRjhraYGtzJlEhZ7uyU7D48mMnYS8Pi1W6cR//Vp0NKZTI65zLvdOEVW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2593</Words>
  <Characters>14782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Ruska Boyadzhieva</cp:lastModifiedBy>
  <cp:revision>5</cp:revision>
  <dcterms:created xsi:type="dcterms:W3CDTF">2021-09-16T17:51:00Z</dcterms:created>
  <dcterms:modified xsi:type="dcterms:W3CDTF">2021-09-20T11:50:00Z</dcterms:modified>
</cp:coreProperties>
</file>