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328FC" w14:textId="77777777" w:rsidR="00ED5147" w:rsidRDefault="003B423D" w:rsidP="00B01ACE">
      <w:pPr>
        <w:pStyle w:val="Heading1"/>
        <w:numPr>
          <w:ilvl w:val="0"/>
          <w:numId w:val="0"/>
        </w:numPr>
        <w:ind w:left="1287" w:right="-144"/>
      </w:pPr>
      <w:bookmarkStart w:id="0" w:name="_heading=h.gjdgxs" w:colFirst="0" w:colLast="0"/>
      <w:bookmarkEnd w:id="0"/>
      <w:r>
        <w:t>A.</w:t>
      </w:r>
      <w:r>
        <w:tab/>
        <w:t>INSTRUCTIONS TO TENDERERS</w:t>
      </w:r>
    </w:p>
    <w:p w14:paraId="2F384EBF" w14:textId="74E26A69" w:rsidR="00ED5147" w:rsidRDefault="003B423D">
      <w:pPr>
        <w:pStyle w:val="Subtitle"/>
        <w:spacing w:after="240"/>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 xml:space="preserve">PUBLICATION REF.: CB005.3.12.001 - LP – Supply </w:t>
      </w:r>
      <w:r w:rsidR="00857421">
        <w:rPr>
          <w:rFonts w:ascii="Times New Roman" w:eastAsia="Times New Roman" w:hAnsi="Times New Roman" w:cs="Times New Roman"/>
        </w:rPr>
        <w:t>5</w:t>
      </w:r>
    </w:p>
    <w:p w14:paraId="1E31D153" w14:textId="77777777" w:rsidR="00ED5147" w:rsidRDefault="003B423D">
      <w:pPr>
        <w:pStyle w:val="Subtitle"/>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7838321E" w14:textId="77777777" w:rsidR="00ED5147" w:rsidRDefault="003B423D">
      <w:pPr>
        <w:pStyle w:val="Subtitle"/>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1EE7A85B" w14:textId="77777777" w:rsidR="00ED5147" w:rsidRDefault="003B423D">
      <w:pPr>
        <w:pStyle w:val="Heading1"/>
        <w:numPr>
          <w:ilvl w:val="0"/>
          <w:numId w:val="3"/>
        </w:numPr>
      </w:pPr>
      <w:bookmarkStart w:id="2" w:name="_heading=h.1fob9te" w:colFirst="0" w:colLast="0"/>
      <w:bookmarkEnd w:id="2"/>
      <w:proofErr w:type="gramStart"/>
      <w:r>
        <w:t>Supplies</w:t>
      </w:r>
      <w:proofErr w:type="gramEnd"/>
      <w:r>
        <w:t xml:space="preserve"> to </w:t>
      </w:r>
      <w:proofErr w:type="spellStart"/>
      <w:r>
        <w:t>be</w:t>
      </w:r>
      <w:proofErr w:type="spellEnd"/>
      <w:r>
        <w:t xml:space="preserve"> </w:t>
      </w:r>
      <w:proofErr w:type="spellStart"/>
      <w:r>
        <w:t>provided</w:t>
      </w:r>
      <w:proofErr w:type="spellEnd"/>
    </w:p>
    <w:p w14:paraId="38325D7C"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p>
    <w:p w14:paraId="7F394140" w14:textId="77777777" w:rsidR="00ED5147" w:rsidRDefault="003B423D">
      <w:pPr>
        <w:spacing w:before="0" w:after="0"/>
        <w:ind w:left="566"/>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 xml:space="preserve">the delivery and installation of the following supplies: ITC equipment for the purposes and functioning of the scientific laboratories of the BLUE GROWTH Research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of Burgas to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Address: 1 Prof.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Burgas, Burgas District, Bulgaria</w:t>
      </w:r>
    </w:p>
    <w:p w14:paraId="528920F8" w14:textId="77777777" w:rsidR="00ED5147" w:rsidRDefault="00ED5147">
      <w:pPr>
        <w:spacing w:before="0" w:after="0"/>
        <w:ind w:left="709" w:hanging="142"/>
        <w:jc w:val="both"/>
        <w:rPr>
          <w:rFonts w:ascii="Times New Roman" w:eastAsia="Times New Roman" w:hAnsi="Times New Roman" w:cs="Times New Roman"/>
          <w:sz w:val="22"/>
          <w:szCs w:val="22"/>
        </w:rPr>
      </w:pPr>
    </w:p>
    <w:p w14:paraId="71C2B982" w14:textId="77777777" w:rsidR="00ED5147" w:rsidRDefault="003B423D">
      <w:pPr>
        <w:spacing w:before="0"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 Supply of computer and presentation equipment for the Water Pollution </w:t>
      </w:r>
      <w:r w:rsidR="00732C32">
        <w:rPr>
          <w:rFonts w:ascii="Times New Roman" w:eastAsia="Times New Roman" w:hAnsi="Times New Roman" w:cs="Times New Roman"/>
          <w:sz w:val="22"/>
          <w:szCs w:val="22"/>
        </w:rPr>
        <w:t>M</w:t>
      </w:r>
      <w:r>
        <w:rPr>
          <w:rFonts w:ascii="Times New Roman" w:eastAsia="Times New Roman" w:hAnsi="Times New Roman" w:cs="Times New Roman"/>
          <w:sz w:val="22"/>
          <w:szCs w:val="22"/>
        </w:rPr>
        <w:t>onitoring, Aquatic Ecosystem Modelling and Aquaculture and Biotechnology Labs</w:t>
      </w:r>
    </w:p>
    <w:p w14:paraId="5653B440" w14:textId="77777777" w:rsidR="00ED5147" w:rsidRDefault="00ED5147">
      <w:pPr>
        <w:spacing w:before="0" w:after="0"/>
        <w:ind w:left="709" w:hanging="142"/>
        <w:jc w:val="both"/>
        <w:rPr>
          <w:rFonts w:ascii="Times New Roman" w:eastAsia="Times New Roman" w:hAnsi="Times New Roman" w:cs="Times New Roman"/>
          <w:sz w:val="22"/>
          <w:szCs w:val="22"/>
        </w:rPr>
      </w:pPr>
    </w:p>
    <w:p w14:paraId="6436D72F" w14:textId="77777777" w:rsidR="00ED5147" w:rsidRDefault="00ED5147">
      <w:pPr>
        <w:tabs>
          <w:tab w:val="left" w:pos="709"/>
          <w:tab w:val="left" w:pos="993"/>
        </w:tabs>
        <w:ind w:left="709"/>
        <w:jc w:val="both"/>
        <w:rPr>
          <w:rFonts w:ascii="Times New Roman" w:eastAsia="Times New Roman" w:hAnsi="Times New Roman" w:cs="Times New Roman"/>
          <w:sz w:val="22"/>
          <w:szCs w:val="22"/>
        </w:rPr>
      </w:pPr>
    </w:p>
    <w:tbl>
      <w:tblPr>
        <w:tblStyle w:val="a"/>
        <w:tblW w:w="6270" w:type="dxa"/>
        <w:jc w:val="center"/>
        <w:tblLayout w:type="fixed"/>
        <w:tblLook w:val="0400" w:firstRow="0" w:lastRow="0" w:firstColumn="0" w:lastColumn="0" w:noHBand="0" w:noVBand="1"/>
      </w:tblPr>
      <w:tblGrid>
        <w:gridCol w:w="1011"/>
        <w:gridCol w:w="3770"/>
        <w:gridCol w:w="1489"/>
      </w:tblGrid>
      <w:tr w:rsidR="00ED5147" w14:paraId="10CC15CF" w14:textId="77777777">
        <w:trPr>
          <w:trHeight w:val="845"/>
          <w:jc w:val="center"/>
        </w:trPr>
        <w:tc>
          <w:tcPr>
            <w:tcW w:w="1011" w:type="dxa"/>
            <w:shd w:val="clear" w:color="auto" w:fill="F2F2F2"/>
          </w:tcPr>
          <w:p w14:paraId="26EA2168" w14:textId="77777777" w:rsidR="00ED5147" w:rsidRDefault="003B423D">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 Number</w:t>
            </w:r>
          </w:p>
        </w:tc>
        <w:tc>
          <w:tcPr>
            <w:tcW w:w="3770" w:type="dxa"/>
            <w:shd w:val="clear" w:color="auto" w:fill="F2F2F2"/>
          </w:tcPr>
          <w:p w14:paraId="7F106BDE" w14:textId="77777777" w:rsidR="00ED5147" w:rsidRDefault="003B423D">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w:t>
            </w:r>
          </w:p>
        </w:tc>
        <w:tc>
          <w:tcPr>
            <w:tcW w:w="1489" w:type="dxa"/>
            <w:shd w:val="clear" w:color="auto" w:fill="F2F2F2"/>
          </w:tcPr>
          <w:p w14:paraId="340722BA" w14:textId="77777777" w:rsidR="00ED5147" w:rsidRDefault="003B423D">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Number of Units</w:t>
            </w:r>
          </w:p>
        </w:tc>
      </w:tr>
      <w:tr w:rsidR="00ED5147" w14:paraId="407A5DBA" w14:textId="77777777">
        <w:trPr>
          <w:trHeight w:val="248"/>
          <w:jc w:val="center"/>
        </w:trPr>
        <w:tc>
          <w:tcPr>
            <w:tcW w:w="1011" w:type="dxa"/>
          </w:tcPr>
          <w:p w14:paraId="006D70AF"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c>
          <w:tcPr>
            <w:tcW w:w="3770" w:type="dxa"/>
          </w:tcPr>
          <w:p w14:paraId="01888BD2"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Server</w:t>
            </w:r>
          </w:p>
        </w:tc>
        <w:tc>
          <w:tcPr>
            <w:tcW w:w="1489" w:type="dxa"/>
            <w:vAlign w:val="center"/>
          </w:tcPr>
          <w:p w14:paraId="6E68AB23"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r w:rsidR="00ED5147" w14:paraId="777467FB" w14:textId="77777777">
        <w:trPr>
          <w:trHeight w:val="235"/>
          <w:jc w:val="center"/>
        </w:trPr>
        <w:tc>
          <w:tcPr>
            <w:tcW w:w="1011" w:type="dxa"/>
          </w:tcPr>
          <w:p w14:paraId="316A8B67"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w:t>
            </w:r>
          </w:p>
        </w:tc>
        <w:tc>
          <w:tcPr>
            <w:tcW w:w="3770" w:type="dxa"/>
          </w:tcPr>
          <w:p w14:paraId="5F72B84C"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Laptop</w:t>
            </w:r>
          </w:p>
        </w:tc>
        <w:tc>
          <w:tcPr>
            <w:tcW w:w="1489" w:type="dxa"/>
            <w:vAlign w:val="center"/>
          </w:tcPr>
          <w:p w14:paraId="4F151932"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5 pcs</w:t>
            </w:r>
          </w:p>
        </w:tc>
      </w:tr>
      <w:tr w:rsidR="00ED5147" w14:paraId="690ABFAE" w14:textId="77777777">
        <w:trPr>
          <w:trHeight w:val="248"/>
          <w:jc w:val="center"/>
        </w:trPr>
        <w:tc>
          <w:tcPr>
            <w:tcW w:w="1011" w:type="dxa"/>
          </w:tcPr>
          <w:p w14:paraId="47C5F9B3"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w:t>
            </w:r>
          </w:p>
        </w:tc>
        <w:tc>
          <w:tcPr>
            <w:tcW w:w="3770" w:type="dxa"/>
          </w:tcPr>
          <w:p w14:paraId="11092910" w14:textId="77777777" w:rsidR="00ED5147" w:rsidRDefault="003B423D">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Projector </w:t>
            </w:r>
          </w:p>
        </w:tc>
        <w:tc>
          <w:tcPr>
            <w:tcW w:w="1489" w:type="dxa"/>
          </w:tcPr>
          <w:p w14:paraId="277906E8"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ED5147" w14:paraId="6959C5C0" w14:textId="77777777">
        <w:trPr>
          <w:trHeight w:val="248"/>
          <w:jc w:val="center"/>
        </w:trPr>
        <w:tc>
          <w:tcPr>
            <w:tcW w:w="1011" w:type="dxa"/>
          </w:tcPr>
          <w:p w14:paraId="5C686866"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4</w:t>
            </w:r>
          </w:p>
        </w:tc>
        <w:tc>
          <w:tcPr>
            <w:tcW w:w="3770" w:type="dxa"/>
          </w:tcPr>
          <w:p w14:paraId="2C7A0A5D"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Projection screen</w:t>
            </w:r>
          </w:p>
        </w:tc>
        <w:tc>
          <w:tcPr>
            <w:tcW w:w="1489" w:type="dxa"/>
          </w:tcPr>
          <w:p w14:paraId="60EC6E8B"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ED5147" w14:paraId="0599497C" w14:textId="77777777">
        <w:trPr>
          <w:trHeight w:val="235"/>
          <w:jc w:val="center"/>
        </w:trPr>
        <w:tc>
          <w:tcPr>
            <w:tcW w:w="1011" w:type="dxa"/>
          </w:tcPr>
          <w:p w14:paraId="34044F3C"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w:t>
            </w:r>
          </w:p>
        </w:tc>
        <w:tc>
          <w:tcPr>
            <w:tcW w:w="3770" w:type="dxa"/>
          </w:tcPr>
          <w:p w14:paraId="24608DA3"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Communication system </w:t>
            </w:r>
          </w:p>
        </w:tc>
        <w:tc>
          <w:tcPr>
            <w:tcW w:w="1489" w:type="dxa"/>
          </w:tcPr>
          <w:p w14:paraId="27265BB7"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r w:rsidR="00ED5147" w14:paraId="4FD20857" w14:textId="77777777">
        <w:trPr>
          <w:trHeight w:val="235"/>
          <w:jc w:val="center"/>
        </w:trPr>
        <w:tc>
          <w:tcPr>
            <w:tcW w:w="1011" w:type="dxa"/>
          </w:tcPr>
          <w:p w14:paraId="64A4D0E4"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6</w:t>
            </w:r>
          </w:p>
        </w:tc>
        <w:tc>
          <w:tcPr>
            <w:tcW w:w="3770" w:type="dxa"/>
          </w:tcPr>
          <w:p w14:paraId="21EEB989" w14:textId="77777777" w:rsidR="00ED5147" w:rsidRDefault="003B423D">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UPS</w:t>
            </w:r>
          </w:p>
        </w:tc>
        <w:tc>
          <w:tcPr>
            <w:tcW w:w="1489" w:type="dxa"/>
          </w:tcPr>
          <w:p w14:paraId="5E50762A"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2 pcs</w:t>
            </w:r>
          </w:p>
        </w:tc>
      </w:tr>
      <w:tr w:rsidR="00ED5147" w14:paraId="61A2C8F0" w14:textId="77777777">
        <w:trPr>
          <w:trHeight w:val="235"/>
          <w:jc w:val="center"/>
        </w:trPr>
        <w:tc>
          <w:tcPr>
            <w:tcW w:w="1011" w:type="dxa"/>
          </w:tcPr>
          <w:p w14:paraId="4796DEB3"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7</w:t>
            </w:r>
          </w:p>
        </w:tc>
        <w:tc>
          <w:tcPr>
            <w:tcW w:w="3770" w:type="dxa"/>
          </w:tcPr>
          <w:p w14:paraId="01EA64DA"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Desktop computer </w:t>
            </w:r>
          </w:p>
        </w:tc>
        <w:tc>
          <w:tcPr>
            <w:tcW w:w="1489" w:type="dxa"/>
          </w:tcPr>
          <w:p w14:paraId="182BC149"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ED5147" w14:paraId="204FDF72" w14:textId="77777777">
        <w:trPr>
          <w:trHeight w:val="235"/>
          <w:jc w:val="center"/>
        </w:trPr>
        <w:tc>
          <w:tcPr>
            <w:tcW w:w="1011" w:type="dxa"/>
          </w:tcPr>
          <w:p w14:paraId="3D03919A"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8</w:t>
            </w:r>
          </w:p>
        </w:tc>
        <w:tc>
          <w:tcPr>
            <w:tcW w:w="3770" w:type="dxa"/>
          </w:tcPr>
          <w:p w14:paraId="4CF5A8CC" w14:textId="77777777" w:rsidR="00ED5147" w:rsidRDefault="003B423D">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Laser all in one device </w:t>
            </w:r>
          </w:p>
        </w:tc>
        <w:tc>
          <w:tcPr>
            <w:tcW w:w="1489" w:type="dxa"/>
          </w:tcPr>
          <w:p w14:paraId="07596A83"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p w14:paraId="0C57D33F" w14:textId="77777777" w:rsidR="00ED5147" w:rsidRDefault="00ED5147">
            <w:pPr>
              <w:tabs>
                <w:tab w:val="left" w:pos="709"/>
                <w:tab w:val="left" w:pos="993"/>
              </w:tabs>
              <w:spacing w:before="0" w:after="0"/>
              <w:jc w:val="both"/>
              <w:rPr>
                <w:rFonts w:ascii="Times New Roman" w:eastAsia="Times New Roman" w:hAnsi="Times New Roman" w:cs="Times New Roman"/>
                <w:b/>
                <w:sz w:val="22"/>
                <w:szCs w:val="22"/>
              </w:rPr>
            </w:pPr>
          </w:p>
        </w:tc>
      </w:tr>
    </w:tbl>
    <w:p w14:paraId="333BDDCC" w14:textId="77777777" w:rsidR="00ED5147" w:rsidRDefault="00ED5147">
      <w:pPr>
        <w:spacing w:before="0" w:after="0"/>
        <w:ind w:left="709" w:hanging="142"/>
        <w:jc w:val="both"/>
        <w:rPr>
          <w:rFonts w:ascii="Times New Roman" w:eastAsia="Times New Roman" w:hAnsi="Times New Roman" w:cs="Times New Roman"/>
          <w:sz w:val="22"/>
          <w:szCs w:val="22"/>
        </w:rPr>
      </w:pPr>
    </w:p>
    <w:p w14:paraId="1AB8BC98" w14:textId="77777777" w:rsidR="00ED5147" w:rsidRDefault="003B423D">
      <w:pPr>
        <w:spacing w:before="0" w:after="0"/>
        <w:ind w:left="709" w:hanging="14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Lot 2 Supply of a drone for research purposes for the needs of the Aquatic Ecosystem Modelling Lab</w:t>
      </w:r>
    </w:p>
    <w:p w14:paraId="3C27D2C2" w14:textId="77777777" w:rsidR="00ED5147" w:rsidRDefault="00ED5147">
      <w:pPr>
        <w:tabs>
          <w:tab w:val="left" w:pos="709"/>
          <w:tab w:val="left" w:pos="993"/>
        </w:tabs>
        <w:ind w:left="709"/>
        <w:jc w:val="both"/>
        <w:rPr>
          <w:rFonts w:ascii="Times New Roman" w:eastAsia="Times New Roman" w:hAnsi="Times New Roman" w:cs="Times New Roman"/>
          <w:sz w:val="22"/>
          <w:szCs w:val="22"/>
        </w:rPr>
      </w:pPr>
    </w:p>
    <w:tbl>
      <w:tblPr>
        <w:tblStyle w:val="a0"/>
        <w:tblW w:w="6270" w:type="dxa"/>
        <w:jc w:val="center"/>
        <w:tblLayout w:type="fixed"/>
        <w:tblLook w:val="0400" w:firstRow="0" w:lastRow="0" w:firstColumn="0" w:lastColumn="0" w:noHBand="0" w:noVBand="1"/>
      </w:tblPr>
      <w:tblGrid>
        <w:gridCol w:w="1011"/>
        <w:gridCol w:w="3770"/>
        <w:gridCol w:w="1489"/>
      </w:tblGrid>
      <w:tr w:rsidR="00ED5147" w14:paraId="4826966E" w14:textId="77777777">
        <w:trPr>
          <w:trHeight w:val="845"/>
          <w:jc w:val="center"/>
        </w:trPr>
        <w:tc>
          <w:tcPr>
            <w:tcW w:w="1011" w:type="dxa"/>
            <w:shd w:val="clear" w:color="auto" w:fill="F2F2F2"/>
          </w:tcPr>
          <w:p w14:paraId="5ECD3783" w14:textId="77777777" w:rsidR="00ED5147" w:rsidRDefault="003B423D">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 Number</w:t>
            </w:r>
          </w:p>
        </w:tc>
        <w:tc>
          <w:tcPr>
            <w:tcW w:w="3770" w:type="dxa"/>
            <w:shd w:val="clear" w:color="auto" w:fill="F2F2F2"/>
          </w:tcPr>
          <w:p w14:paraId="01D79108" w14:textId="77777777" w:rsidR="00ED5147" w:rsidRDefault="003B423D">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w:t>
            </w:r>
          </w:p>
        </w:tc>
        <w:tc>
          <w:tcPr>
            <w:tcW w:w="1489" w:type="dxa"/>
            <w:shd w:val="clear" w:color="auto" w:fill="F2F2F2"/>
          </w:tcPr>
          <w:p w14:paraId="45E39DB9" w14:textId="77777777" w:rsidR="00ED5147" w:rsidRDefault="003B423D">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Number of Units</w:t>
            </w:r>
          </w:p>
        </w:tc>
      </w:tr>
      <w:tr w:rsidR="00ED5147" w14:paraId="3B879E12" w14:textId="77777777">
        <w:trPr>
          <w:trHeight w:val="248"/>
          <w:jc w:val="center"/>
        </w:trPr>
        <w:tc>
          <w:tcPr>
            <w:tcW w:w="1011" w:type="dxa"/>
          </w:tcPr>
          <w:p w14:paraId="0B65CABD" w14:textId="77777777" w:rsidR="00ED5147" w:rsidRDefault="003B423D">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c>
          <w:tcPr>
            <w:tcW w:w="3770" w:type="dxa"/>
          </w:tcPr>
          <w:p w14:paraId="5B1F60CB"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Drone </w:t>
            </w:r>
          </w:p>
        </w:tc>
        <w:tc>
          <w:tcPr>
            <w:tcW w:w="1489" w:type="dxa"/>
            <w:vAlign w:val="center"/>
          </w:tcPr>
          <w:p w14:paraId="5DD1250F" w14:textId="77777777" w:rsidR="00ED5147" w:rsidRDefault="003B423D">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bl>
    <w:p w14:paraId="5CC7E869" w14:textId="77777777" w:rsidR="00ED5147" w:rsidRDefault="00ED5147">
      <w:pPr>
        <w:spacing w:before="0" w:after="0"/>
        <w:ind w:left="709" w:hanging="142"/>
        <w:jc w:val="both"/>
        <w:rPr>
          <w:rFonts w:ascii="Times New Roman" w:eastAsia="Times New Roman" w:hAnsi="Times New Roman" w:cs="Times New Roman"/>
          <w:sz w:val="22"/>
          <w:szCs w:val="22"/>
        </w:rPr>
      </w:pPr>
    </w:p>
    <w:p w14:paraId="7C2BF61B" w14:textId="77777777" w:rsidR="00ED5147" w:rsidRDefault="003B423D">
      <w:pPr>
        <w:pStyle w:val="Heading2"/>
        <w:keepNext w:val="0"/>
        <w:spacing w:before="24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3D8D7494" w14:textId="77777777" w:rsidR="00ED5147" w:rsidRDefault="003B423D">
      <w:pPr>
        <w:pStyle w:val="Heading2"/>
        <w:keepNext w:val="0"/>
        <w:tabs>
          <w:tab w:val="left" w:pos="709"/>
        </w:tab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76BE1486" w14:textId="77777777" w:rsidR="00ED5147" w:rsidRDefault="003B423D">
      <w:pPr>
        <w:pStyle w:val="Heading1"/>
        <w:numPr>
          <w:ilvl w:val="0"/>
          <w:numId w:val="3"/>
        </w:numPr>
      </w:pPr>
      <w:bookmarkStart w:id="4" w:name="_heading=h.2et92p0" w:colFirst="0" w:colLast="0"/>
      <w:bookmarkEnd w:id="4"/>
      <w:proofErr w:type="spellStart"/>
      <w:r>
        <w:t>Timetable</w:t>
      </w:r>
      <w:proofErr w:type="spellEnd"/>
    </w:p>
    <w:tbl>
      <w:tblPr>
        <w:tblStyle w:val="a1"/>
        <w:tblW w:w="86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ED5147" w14:paraId="410DDB3E" w14:textId="77777777">
        <w:tc>
          <w:tcPr>
            <w:tcW w:w="3969" w:type="dxa"/>
            <w:tcBorders>
              <w:bottom w:val="nil"/>
            </w:tcBorders>
          </w:tcPr>
          <w:p w14:paraId="752652CF" w14:textId="77777777" w:rsidR="00ED5147" w:rsidRDefault="00ED5147">
            <w:pPr>
              <w:keepNext/>
              <w:jc w:val="both"/>
              <w:rPr>
                <w:rFonts w:ascii="Times New Roman" w:eastAsia="Times New Roman" w:hAnsi="Times New Roman" w:cs="Times New Roman"/>
              </w:rPr>
            </w:pPr>
          </w:p>
        </w:tc>
        <w:tc>
          <w:tcPr>
            <w:tcW w:w="2410" w:type="dxa"/>
            <w:shd w:val="clear" w:color="auto" w:fill="E6E6E6"/>
          </w:tcPr>
          <w:p w14:paraId="5A43D266" w14:textId="77777777" w:rsidR="00ED5147" w:rsidRDefault="003B423D">
            <w:pPr>
              <w:keepNext/>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76EB6EFD" w14:textId="77777777" w:rsidR="00ED5147" w:rsidRDefault="003B423D">
            <w:pPr>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TIME*</w:t>
            </w:r>
          </w:p>
        </w:tc>
      </w:tr>
      <w:tr w:rsidR="00ED5147" w14:paraId="73B5E2DE" w14:textId="77777777">
        <w:tc>
          <w:tcPr>
            <w:tcW w:w="3969" w:type="dxa"/>
            <w:shd w:val="clear" w:color="auto" w:fill="E6E6E6"/>
          </w:tcPr>
          <w:p w14:paraId="4BA0B2C3" w14:textId="77777777" w:rsidR="00ED5147" w:rsidRDefault="003B423D">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Clarification meeting / site visit (if any)</w:t>
            </w:r>
          </w:p>
        </w:tc>
        <w:tc>
          <w:tcPr>
            <w:tcW w:w="2410" w:type="dxa"/>
          </w:tcPr>
          <w:p w14:paraId="6EF6C97D" w14:textId="77777777" w:rsidR="00ED5147" w:rsidRDefault="003B423D">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0C9CBAC6" w14:textId="77777777" w:rsidR="00ED5147" w:rsidRDefault="003B423D">
            <w:pP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ED5147" w:rsidRPr="00B01ACE" w14:paraId="671C0704" w14:textId="77777777">
        <w:tc>
          <w:tcPr>
            <w:tcW w:w="3969" w:type="dxa"/>
            <w:shd w:val="clear" w:color="auto" w:fill="E6E6E6"/>
          </w:tcPr>
          <w:p w14:paraId="23CD4D8B" w14:textId="77777777" w:rsidR="00ED5147" w:rsidRPr="00B01ACE" w:rsidRDefault="003B423D">
            <w:pPr>
              <w:keepNext/>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Deadline for requesting clarifications from the contracting authority</w:t>
            </w:r>
          </w:p>
        </w:tc>
        <w:tc>
          <w:tcPr>
            <w:tcW w:w="2410" w:type="dxa"/>
          </w:tcPr>
          <w:p w14:paraId="1624A0BF" w14:textId="2D19338F" w:rsidR="00ED5147" w:rsidRPr="00B01ACE" w:rsidRDefault="003B423D">
            <w:pP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0</w:t>
            </w:r>
            <w:r w:rsidR="00857421" w:rsidRPr="00B01ACE">
              <w:rPr>
                <w:rFonts w:ascii="Times New Roman" w:eastAsia="Times New Roman" w:hAnsi="Times New Roman" w:cs="Times New Roman"/>
                <w:sz w:val="22"/>
                <w:szCs w:val="22"/>
              </w:rPr>
              <w:t>8.10</w:t>
            </w:r>
            <w:r w:rsidRPr="00B01ACE">
              <w:rPr>
                <w:rFonts w:ascii="Times New Roman" w:eastAsia="Times New Roman" w:hAnsi="Times New Roman" w:cs="Times New Roman"/>
                <w:sz w:val="22"/>
                <w:szCs w:val="22"/>
              </w:rPr>
              <w:t>.2021</w:t>
            </w:r>
          </w:p>
        </w:tc>
        <w:tc>
          <w:tcPr>
            <w:tcW w:w="2268" w:type="dxa"/>
          </w:tcPr>
          <w:p w14:paraId="16376B4C" w14:textId="77777777" w:rsidR="00ED5147" w:rsidRPr="00B01ACE" w:rsidRDefault="003B423D">
            <w:pPr>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17.00</w:t>
            </w:r>
          </w:p>
        </w:tc>
      </w:tr>
      <w:tr w:rsidR="00ED5147" w:rsidRPr="00B01ACE" w14:paraId="45E9320D" w14:textId="77777777">
        <w:tc>
          <w:tcPr>
            <w:tcW w:w="3969" w:type="dxa"/>
            <w:shd w:val="clear" w:color="auto" w:fill="E6E6E6"/>
          </w:tcPr>
          <w:p w14:paraId="39461E70" w14:textId="77777777" w:rsidR="00ED5147" w:rsidRPr="00B01ACE" w:rsidRDefault="003B423D">
            <w:pPr>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Last date on which clarifications are issued by the contracting authority</w:t>
            </w:r>
          </w:p>
        </w:tc>
        <w:tc>
          <w:tcPr>
            <w:tcW w:w="2410" w:type="dxa"/>
          </w:tcPr>
          <w:p w14:paraId="520A7D70" w14:textId="3ADBC0B4" w:rsidR="00ED5147" w:rsidRPr="00B01ACE" w:rsidRDefault="00857421">
            <w:pP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18.10</w:t>
            </w:r>
            <w:r w:rsidR="003B423D" w:rsidRPr="00B01ACE">
              <w:rPr>
                <w:rFonts w:ascii="Times New Roman" w:eastAsia="Times New Roman" w:hAnsi="Times New Roman" w:cs="Times New Roman"/>
                <w:sz w:val="22"/>
                <w:szCs w:val="22"/>
              </w:rPr>
              <w:t>.2021</w:t>
            </w:r>
          </w:p>
        </w:tc>
        <w:tc>
          <w:tcPr>
            <w:tcW w:w="2268" w:type="dxa"/>
          </w:tcPr>
          <w:p w14:paraId="777B07DA" w14:textId="77777777" w:rsidR="00ED5147" w:rsidRPr="00B01ACE" w:rsidRDefault="003B423D">
            <w:pPr>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w:t>
            </w:r>
          </w:p>
        </w:tc>
      </w:tr>
      <w:tr w:rsidR="00ED5147" w:rsidRPr="00B01ACE" w14:paraId="1B3846DA" w14:textId="77777777">
        <w:tc>
          <w:tcPr>
            <w:tcW w:w="3969" w:type="dxa"/>
            <w:shd w:val="clear" w:color="auto" w:fill="E6E6E6"/>
          </w:tcPr>
          <w:p w14:paraId="1E32004E" w14:textId="77777777" w:rsidR="00ED5147" w:rsidRPr="00B01ACE" w:rsidRDefault="003B423D">
            <w:pPr>
              <w:jc w:val="both"/>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Deadline for submission of tenders</w:t>
            </w:r>
          </w:p>
        </w:tc>
        <w:tc>
          <w:tcPr>
            <w:tcW w:w="2410" w:type="dxa"/>
          </w:tcPr>
          <w:p w14:paraId="7F42732B" w14:textId="1B7C855F" w:rsidR="00ED5147" w:rsidRPr="00B01ACE" w:rsidRDefault="00857421">
            <w:pP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28.10</w:t>
            </w:r>
            <w:r w:rsidR="003B423D" w:rsidRPr="00B01ACE">
              <w:rPr>
                <w:rFonts w:ascii="Times New Roman" w:eastAsia="Times New Roman" w:hAnsi="Times New Roman" w:cs="Times New Roman"/>
                <w:sz w:val="22"/>
                <w:szCs w:val="22"/>
              </w:rPr>
              <w:t>.2021</w:t>
            </w:r>
          </w:p>
        </w:tc>
        <w:tc>
          <w:tcPr>
            <w:tcW w:w="2268" w:type="dxa"/>
          </w:tcPr>
          <w:p w14:paraId="334939B9" w14:textId="77777777" w:rsidR="00ED5147" w:rsidRPr="00B01ACE" w:rsidRDefault="003B423D">
            <w:pPr>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17.00</w:t>
            </w:r>
          </w:p>
        </w:tc>
      </w:tr>
      <w:tr w:rsidR="00ED5147" w:rsidRPr="00B01ACE" w14:paraId="3BB67E97" w14:textId="77777777">
        <w:tc>
          <w:tcPr>
            <w:tcW w:w="3969" w:type="dxa"/>
            <w:shd w:val="clear" w:color="auto" w:fill="E6E6E6"/>
          </w:tcPr>
          <w:p w14:paraId="5902C819" w14:textId="77777777" w:rsidR="00ED5147" w:rsidRPr="00B01ACE" w:rsidRDefault="003B423D">
            <w:pPr>
              <w:jc w:val="both"/>
              <w:rPr>
                <w:rFonts w:ascii="Times New Roman" w:eastAsia="Times New Roman" w:hAnsi="Times New Roman" w:cs="Times New Roman"/>
                <w:b/>
                <w:sz w:val="22"/>
                <w:szCs w:val="22"/>
              </w:rPr>
            </w:pPr>
            <w:bookmarkStart w:id="5" w:name="_heading=h.tyjcwt" w:colFirst="0" w:colLast="0"/>
            <w:bookmarkEnd w:id="5"/>
            <w:r w:rsidRPr="00B01ACE">
              <w:rPr>
                <w:rFonts w:ascii="Times New Roman" w:eastAsia="Times New Roman" w:hAnsi="Times New Roman" w:cs="Times New Roman"/>
                <w:b/>
                <w:sz w:val="22"/>
                <w:szCs w:val="22"/>
              </w:rPr>
              <w:t>Tender opening session</w:t>
            </w:r>
          </w:p>
        </w:tc>
        <w:tc>
          <w:tcPr>
            <w:tcW w:w="2410" w:type="dxa"/>
          </w:tcPr>
          <w:p w14:paraId="5AC35C0B" w14:textId="13154809" w:rsidR="00ED5147" w:rsidRPr="00B01ACE" w:rsidRDefault="003B423D">
            <w:pP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0</w:t>
            </w:r>
            <w:r w:rsidR="00857421" w:rsidRPr="00B01ACE">
              <w:rPr>
                <w:rFonts w:ascii="Times New Roman" w:eastAsia="Times New Roman" w:hAnsi="Times New Roman" w:cs="Times New Roman"/>
                <w:sz w:val="22"/>
                <w:szCs w:val="22"/>
              </w:rPr>
              <w:t>8.11</w:t>
            </w:r>
            <w:r w:rsidRPr="00B01ACE">
              <w:rPr>
                <w:rFonts w:ascii="Times New Roman" w:eastAsia="Times New Roman" w:hAnsi="Times New Roman" w:cs="Times New Roman"/>
                <w:sz w:val="22"/>
                <w:szCs w:val="22"/>
              </w:rPr>
              <w:t>.2021</w:t>
            </w:r>
          </w:p>
        </w:tc>
        <w:tc>
          <w:tcPr>
            <w:tcW w:w="2268" w:type="dxa"/>
          </w:tcPr>
          <w:p w14:paraId="13AF0098" w14:textId="77777777" w:rsidR="00ED5147" w:rsidRPr="00B01ACE" w:rsidRDefault="003B423D">
            <w:pPr>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14.00</w:t>
            </w:r>
          </w:p>
        </w:tc>
      </w:tr>
      <w:tr w:rsidR="00ED5147" w:rsidRPr="00B01ACE" w14:paraId="0397D736" w14:textId="77777777">
        <w:tc>
          <w:tcPr>
            <w:tcW w:w="3969" w:type="dxa"/>
            <w:shd w:val="clear" w:color="auto" w:fill="E6E6E6"/>
          </w:tcPr>
          <w:p w14:paraId="6323499C" w14:textId="77777777" w:rsidR="00ED5147" w:rsidRPr="00B01ACE" w:rsidRDefault="003B423D">
            <w:pPr>
              <w:tabs>
                <w:tab w:val="left" w:pos="851"/>
              </w:tabs>
              <w:jc w:val="both"/>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Notification of award to the successful tenderer</w:t>
            </w:r>
          </w:p>
        </w:tc>
        <w:tc>
          <w:tcPr>
            <w:tcW w:w="2410" w:type="dxa"/>
          </w:tcPr>
          <w:p w14:paraId="5BCBCEF2" w14:textId="32792F6D" w:rsidR="00ED5147" w:rsidRPr="00B01ACE" w:rsidRDefault="003B423D">
            <w:pPr>
              <w:tabs>
                <w:tab w:val="left" w:pos="851"/>
              </w:tabs>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 xml:space="preserve"> 1</w:t>
            </w:r>
            <w:r w:rsidR="00857421" w:rsidRPr="00B01ACE">
              <w:rPr>
                <w:rFonts w:ascii="Times New Roman" w:eastAsia="Times New Roman" w:hAnsi="Times New Roman" w:cs="Times New Roman"/>
                <w:sz w:val="22"/>
                <w:szCs w:val="22"/>
              </w:rPr>
              <w:t>5.11</w:t>
            </w:r>
            <w:r w:rsidRPr="00B01ACE">
              <w:rPr>
                <w:rFonts w:ascii="Times New Roman" w:eastAsia="Times New Roman" w:hAnsi="Times New Roman" w:cs="Times New Roman"/>
                <w:sz w:val="22"/>
                <w:szCs w:val="22"/>
              </w:rPr>
              <w:t xml:space="preserve">.2021 </w:t>
            </w:r>
            <w:r w:rsidRPr="00B01ACE">
              <w:rPr>
                <w:rFonts w:ascii="Times New Roman" w:eastAsia="Times New Roman" w:hAnsi="Times New Roman" w:cs="Times New Roman"/>
                <w:sz w:val="22"/>
                <w:szCs w:val="22"/>
                <w:vertAlign w:val="superscript"/>
              </w:rPr>
              <w:t>**</w:t>
            </w:r>
          </w:p>
        </w:tc>
        <w:tc>
          <w:tcPr>
            <w:tcW w:w="2268" w:type="dxa"/>
          </w:tcPr>
          <w:p w14:paraId="34CEFB9F" w14:textId="77777777" w:rsidR="00ED5147" w:rsidRPr="00B01ACE" w:rsidRDefault="003B423D">
            <w:pPr>
              <w:tabs>
                <w:tab w:val="left" w:pos="851"/>
              </w:tabs>
              <w:jc w:val="center"/>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w:t>
            </w:r>
          </w:p>
        </w:tc>
      </w:tr>
      <w:tr w:rsidR="00ED5147" w14:paraId="1C17ABBB" w14:textId="77777777">
        <w:tc>
          <w:tcPr>
            <w:tcW w:w="3969" w:type="dxa"/>
            <w:shd w:val="clear" w:color="auto" w:fill="E6E6E6"/>
          </w:tcPr>
          <w:p w14:paraId="7327DAED" w14:textId="77777777" w:rsidR="00ED5147" w:rsidRPr="00B01ACE" w:rsidRDefault="003B423D">
            <w:pPr>
              <w:tabs>
                <w:tab w:val="left" w:pos="851"/>
              </w:tabs>
              <w:jc w:val="both"/>
              <w:rPr>
                <w:rFonts w:ascii="Times New Roman" w:eastAsia="Times New Roman" w:hAnsi="Times New Roman" w:cs="Times New Roman"/>
                <w:b/>
                <w:sz w:val="22"/>
                <w:szCs w:val="22"/>
              </w:rPr>
            </w:pPr>
            <w:r w:rsidRPr="00B01ACE">
              <w:rPr>
                <w:rFonts w:ascii="Times New Roman" w:eastAsia="Times New Roman" w:hAnsi="Times New Roman" w:cs="Times New Roman"/>
                <w:b/>
                <w:sz w:val="22"/>
                <w:szCs w:val="22"/>
              </w:rPr>
              <w:t>Signature of the contract</w:t>
            </w:r>
          </w:p>
        </w:tc>
        <w:tc>
          <w:tcPr>
            <w:tcW w:w="2410" w:type="dxa"/>
          </w:tcPr>
          <w:p w14:paraId="5B06ABA9" w14:textId="6E1D3E3D" w:rsidR="00ED5147" w:rsidRPr="00B01ACE" w:rsidRDefault="00857421">
            <w:pPr>
              <w:tabs>
                <w:tab w:val="left" w:pos="851"/>
              </w:tabs>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22.11</w:t>
            </w:r>
            <w:r w:rsidR="003B423D" w:rsidRPr="00B01ACE">
              <w:rPr>
                <w:rFonts w:ascii="Times New Roman" w:eastAsia="Times New Roman" w:hAnsi="Times New Roman" w:cs="Times New Roman"/>
                <w:sz w:val="22"/>
                <w:szCs w:val="22"/>
              </w:rPr>
              <w:t>.2021</w:t>
            </w:r>
          </w:p>
        </w:tc>
        <w:tc>
          <w:tcPr>
            <w:tcW w:w="2268" w:type="dxa"/>
          </w:tcPr>
          <w:p w14:paraId="29F44C16" w14:textId="77777777" w:rsidR="00ED5147" w:rsidRDefault="003B423D">
            <w:pPr>
              <w:tabs>
                <w:tab w:val="left" w:pos="851"/>
              </w:tabs>
              <w:jc w:val="both"/>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w:t>
            </w:r>
          </w:p>
        </w:tc>
      </w:tr>
    </w:tbl>
    <w:p w14:paraId="5323E033" w14:textId="77777777" w:rsidR="00ED5147" w:rsidRDefault="003B423D">
      <w:pPr>
        <w:tabs>
          <w:tab w:val="left" w:pos="851"/>
        </w:tabs>
        <w:jc w:val="both"/>
        <w:rPr>
          <w:rFonts w:ascii="Times New Roman" w:eastAsia="Times New Roman" w:hAnsi="Times New Roman" w:cs="Times New Roman"/>
          <w:b/>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225CF85E" w14:textId="77777777" w:rsidR="00ED5147" w:rsidRDefault="00ED5147">
      <w:pPr>
        <w:tabs>
          <w:tab w:val="left" w:pos="851"/>
        </w:tabs>
        <w:jc w:val="both"/>
        <w:rPr>
          <w:rFonts w:ascii="Times New Roman" w:eastAsia="Times New Roman" w:hAnsi="Times New Roman" w:cs="Times New Roman"/>
          <w:b/>
        </w:rPr>
      </w:pPr>
    </w:p>
    <w:p w14:paraId="63B100F1" w14:textId="77777777" w:rsidR="00ED5147" w:rsidRDefault="003B423D">
      <w:pPr>
        <w:pStyle w:val="Heading1"/>
        <w:numPr>
          <w:ilvl w:val="0"/>
          <w:numId w:val="3"/>
        </w:numPr>
      </w:pPr>
      <w:bookmarkStart w:id="7" w:name="_heading=h.1t3h5sf" w:colFirst="0" w:colLast="0"/>
      <w:bookmarkEnd w:id="7"/>
      <w:r>
        <w:t>Participation</w:t>
      </w:r>
    </w:p>
    <w:p w14:paraId="187E12BE" w14:textId="72E99B99" w:rsidR="00ED5147" w:rsidRPr="00B01ACE" w:rsidRDefault="003B423D" w:rsidP="00B01ACE">
      <w:pPr>
        <w:pStyle w:val="ListParagraph"/>
        <w:widowControl w:val="0"/>
        <w:numPr>
          <w:ilvl w:val="1"/>
          <w:numId w:val="3"/>
        </w:numPr>
        <w:pBdr>
          <w:top w:val="nil"/>
          <w:left w:val="nil"/>
          <w:bottom w:val="nil"/>
          <w:right w:val="nil"/>
          <w:between w:val="nil"/>
        </w:pBdr>
        <w:spacing w:before="100" w:after="100"/>
        <w:jc w:val="both"/>
        <w:rPr>
          <w:rFonts w:ascii="Times New Roman" w:eastAsia="Times New Roman" w:hAnsi="Times New Roman" w:cs="Times New Roman"/>
          <w:color w:val="000000"/>
        </w:rPr>
      </w:pPr>
      <w:bookmarkStart w:id="8" w:name="_heading=h.4d34og8" w:colFirst="0" w:colLast="0"/>
      <w:bookmarkEnd w:id="8"/>
      <w:r w:rsidRPr="00B01ACE">
        <w:rPr>
          <w:rFonts w:ascii="Times New Roman" w:eastAsia="Times New Roman" w:hAnsi="Times New Roman" w:cs="Times New Roman"/>
          <w:color w:val="000000"/>
        </w:rPr>
        <w:t xml:space="preserve">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t>
      </w:r>
      <w:proofErr w:type="gramStart"/>
      <w:r w:rsidRPr="00B01ACE">
        <w:rPr>
          <w:rFonts w:ascii="Times New Roman" w:eastAsia="Times New Roman" w:hAnsi="Times New Roman" w:cs="Times New Roman"/>
          <w:color w:val="000000"/>
        </w:rPr>
        <w:t>when  the</w:t>
      </w:r>
      <w:proofErr w:type="gramEnd"/>
      <w:r w:rsidRPr="00B01ACE">
        <w:rPr>
          <w:rFonts w:ascii="Times New Roman" w:eastAsia="Times New Roman" w:hAnsi="Times New Roman" w:cs="Times New Roman"/>
          <w:color w:val="000000"/>
        </w:rPr>
        <w:t xml:space="preserve"> amount of the supplies to be purchased (as a whole or, if divided into lots, per lot) is below EUR 100 000. ]</w:t>
      </w:r>
    </w:p>
    <w:p w14:paraId="3852E312" w14:textId="77777777" w:rsidR="00857421" w:rsidRPr="00DD7573" w:rsidRDefault="00857421" w:rsidP="00857421">
      <w:pPr>
        <w:pStyle w:val="Heading1"/>
        <w:numPr>
          <w:ilvl w:val="0"/>
          <w:numId w:val="0"/>
        </w:numPr>
        <w:rPr>
          <w:sz w:val="22"/>
          <w:szCs w:val="22"/>
        </w:rPr>
      </w:pPr>
      <w:r w:rsidRPr="00DD7573">
        <w:rPr>
          <w:sz w:val="22"/>
          <w:szCs w:val="22"/>
        </w:rPr>
        <w:t xml:space="preserve">All supplies </w:t>
      </w:r>
      <w:proofErr w:type="spellStart"/>
      <w:r w:rsidRPr="00DD7573">
        <w:rPr>
          <w:sz w:val="22"/>
          <w:szCs w:val="22"/>
        </w:rPr>
        <w:t>under</w:t>
      </w:r>
      <w:proofErr w:type="spellEnd"/>
      <w:r w:rsidRPr="00DD7573">
        <w:rPr>
          <w:sz w:val="22"/>
          <w:szCs w:val="22"/>
        </w:rPr>
        <w:t xml:space="preserve"> </w:t>
      </w:r>
      <w:proofErr w:type="spellStart"/>
      <w:r w:rsidRPr="00DD7573">
        <w:rPr>
          <w:sz w:val="22"/>
          <w:szCs w:val="22"/>
        </w:rPr>
        <w:t>this</w:t>
      </w:r>
      <w:proofErr w:type="spellEnd"/>
      <w:r w:rsidRPr="00DD7573">
        <w:rPr>
          <w:sz w:val="22"/>
          <w:szCs w:val="22"/>
        </w:rPr>
        <w:t xml:space="preserve"> </w:t>
      </w:r>
      <w:proofErr w:type="spellStart"/>
      <w:r w:rsidRPr="00DD7573">
        <w:rPr>
          <w:sz w:val="22"/>
          <w:szCs w:val="22"/>
        </w:rPr>
        <w:t>contract</w:t>
      </w:r>
      <w:proofErr w:type="spellEnd"/>
      <w:r w:rsidRPr="00DD7573">
        <w:rPr>
          <w:sz w:val="22"/>
          <w:szCs w:val="22"/>
        </w:rPr>
        <w:t xml:space="preserve"> </w:t>
      </w:r>
      <w:r w:rsidRPr="00DD7573">
        <w:rPr>
          <w:rFonts w:eastAsia="Calibri"/>
          <w:noProof/>
          <w:sz w:val="22"/>
          <w:szCs w:val="22"/>
        </w:rPr>
        <w:t>may originate from any country.</w:t>
      </w:r>
    </w:p>
    <w:p w14:paraId="37A1B9CC"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5261987B" w14:textId="77777777" w:rsidR="00ED5147" w:rsidRDefault="003B423D">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w:t>
      </w:r>
      <w:proofErr w:type="spellStart"/>
      <w:r>
        <w:rPr>
          <w:rFonts w:ascii="Times New Roman" w:eastAsia="Times New Roman" w:hAnsi="Times New Roman" w:cs="Times New Roman"/>
          <w:sz w:val="22"/>
          <w:szCs w:val="22"/>
        </w:rPr>
        <w:t>joint venture</w:t>
      </w:r>
      <w:proofErr w:type="spellEnd"/>
      <w:r>
        <w:rPr>
          <w:rFonts w:ascii="Times New Roman" w:eastAsia="Times New Roman" w:hAnsi="Times New Roman" w:cs="Times New Roman"/>
          <w:sz w:val="22"/>
          <w:szCs w:val="22"/>
        </w:rPr>
        <w:t xml:space="preserv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w:t>
      </w:r>
      <w:proofErr w:type="spellStart"/>
      <w:r>
        <w:rPr>
          <w:rFonts w:ascii="Times New Roman" w:eastAsia="Times New Roman" w:hAnsi="Times New Roman" w:cs="Times New Roman"/>
          <w:sz w:val="22"/>
          <w:szCs w:val="22"/>
        </w:rPr>
        <w:t>joint venture</w:t>
      </w:r>
      <w:proofErr w:type="spellEnd"/>
      <w:r>
        <w:rPr>
          <w:rFonts w:ascii="Times New Roman" w:eastAsia="Times New Roman" w:hAnsi="Times New Roman" w:cs="Times New Roman"/>
          <w:sz w:val="22"/>
          <w:szCs w:val="22"/>
        </w:rPr>
        <w:t xml:space="preserv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lastRenderedPageBreak/>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05238A91" w14:textId="77777777" w:rsidR="00ED5147" w:rsidRDefault="003B423D">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w:t>
      </w:r>
      <w:proofErr w:type="spellStart"/>
      <w:r>
        <w:rPr>
          <w:rFonts w:ascii="Times New Roman" w:eastAsia="Times New Roman" w:hAnsi="Times New Roman" w:cs="Times New Roman"/>
          <w:sz w:val="22"/>
          <w:szCs w:val="22"/>
        </w:rPr>
        <w:t>joint venture</w:t>
      </w:r>
      <w:proofErr w:type="spellEnd"/>
      <w:r>
        <w:rPr>
          <w:rFonts w:ascii="Times New Roman" w:eastAsia="Times New Roman" w:hAnsi="Times New Roman" w:cs="Times New Roman"/>
          <w:sz w:val="22"/>
          <w:szCs w:val="22"/>
        </w:rPr>
        <w:t xml:space="preserv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3F879506"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w:t>
      </w:r>
      <w:proofErr w:type="spellStart"/>
      <w:r>
        <w:rPr>
          <w:rFonts w:ascii="Times New Roman" w:eastAsia="Times New Roman" w:hAnsi="Times New Roman" w:cs="Times New Roman"/>
          <w:sz w:val="22"/>
          <w:szCs w:val="22"/>
        </w:rPr>
        <w:t>joint venture</w:t>
      </w:r>
      <w:proofErr w:type="spellEnd"/>
      <w:r>
        <w:rPr>
          <w:rFonts w:ascii="Times New Roman" w:eastAsia="Times New Roman" w:hAnsi="Times New Roman" w:cs="Times New Roman"/>
          <w:sz w:val="22"/>
          <w:szCs w:val="22"/>
        </w:rPr>
        <w:t xml:space="preserv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4F6CD16F" w14:textId="77777777" w:rsidR="00ED5147" w:rsidRDefault="003B423D">
      <w:pPr>
        <w:pStyle w:val="Heading2"/>
        <w:keepNext w:val="0"/>
        <w:tabs>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1CAB6964" w14:textId="77777777" w:rsidR="00ED5147" w:rsidRDefault="003B423D">
      <w:pPr>
        <w:pStyle w:val="Heading2"/>
        <w:tabs>
          <w:tab w:val="left" w:pos="792"/>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76F6E18A" w14:textId="77777777" w:rsidR="00ED5147" w:rsidRDefault="003B423D">
      <w:pPr>
        <w:pStyle w:val="Heading1"/>
        <w:numPr>
          <w:ilvl w:val="0"/>
          <w:numId w:val="3"/>
        </w:numPr>
      </w:pPr>
      <w:bookmarkStart w:id="9" w:name="_heading=h.2s8eyo1" w:colFirst="0" w:colLast="0"/>
      <w:bookmarkEnd w:id="9"/>
      <w:r>
        <w:t>Origin</w:t>
      </w:r>
    </w:p>
    <w:p w14:paraId="78375E85"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7F320A06" w14:textId="77777777" w:rsidR="00ED5147" w:rsidRDefault="003B423D">
      <w:pPr>
        <w:ind w:firstLine="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All supplies under this contract may originate from any country.</w:t>
      </w:r>
    </w:p>
    <w:p w14:paraId="3DB7962B" w14:textId="77777777" w:rsidR="00ED5147" w:rsidRDefault="003B423D">
      <w:pPr>
        <w:pStyle w:val="Heading2"/>
        <w:keepNext w:val="0"/>
        <w:ind w:left="567"/>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4708D18D"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385BF793" w14:textId="77777777" w:rsidR="00ED5147" w:rsidRDefault="003B423D">
      <w:pPr>
        <w:pStyle w:val="Heading1"/>
        <w:numPr>
          <w:ilvl w:val="0"/>
          <w:numId w:val="3"/>
        </w:numPr>
      </w:pPr>
      <w:bookmarkStart w:id="10" w:name="_heading=h.17dp8vu" w:colFirst="0" w:colLast="0"/>
      <w:bookmarkEnd w:id="10"/>
      <w:r>
        <w:t xml:space="preserve">Type of </w:t>
      </w:r>
      <w:proofErr w:type="spellStart"/>
      <w:r>
        <w:t>contract</w:t>
      </w:r>
      <w:proofErr w:type="spellEnd"/>
    </w:p>
    <w:p w14:paraId="3B3584B7"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0F3130CF" w14:textId="77777777" w:rsidR="00ED5147" w:rsidRDefault="003B423D">
      <w:pPr>
        <w:pStyle w:val="Heading1"/>
        <w:numPr>
          <w:ilvl w:val="0"/>
          <w:numId w:val="3"/>
        </w:numPr>
      </w:pPr>
      <w:bookmarkStart w:id="11" w:name="_heading=h.3rdcrjn" w:colFirst="0" w:colLast="0"/>
      <w:bookmarkEnd w:id="11"/>
      <w:r>
        <w:t>Currency</w:t>
      </w:r>
    </w:p>
    <w:p w14:paraId="6D2A1DE2"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03C95925" w14:textId="77777777" w:rsidR="00ED5147" w:rsidRDefault="003B423D">
      <w:pPr>
        <w:pStyle w:val="Heading1"/>
        <w:numPr>
          <w:ilvl w:val="0"/>
          <w:numId w:val="3"/>
        </w:numPr>
      </w:pPr>
      <w:bookmarkStart w:id="12" w:name="_heading=h.26in1rg" w:colFirst="0" w:colLast="0"/>
      <w:bookmarkEnd w:id="12"/>
      <w:r>
        <w:lastRenderedPageBreak/>
        <w:t>Lots</w:t>
      </w:r>
    </w:p>
    <w:p w14:paraId="5E6DA599" w14:textId="77777777" w:rsidR="00ED5147" w:rsidRDefault="003B423D">
      <w:pPr>
        <w:pStyle w:val="Heading2"/>
        <w:keepNext w:val="0"/>
        <w:ind w:left="567" w:hanging="567"/>
        <w:jc w:val="both"/>
        <w:rPr>
          <w:rFonts w:ascii="Times New Roman" w:eastAsia="Times New Roman" w:hAnsi="Times New Roman" w:cs="Times New Roman"/>
          <w:sz w:val="22"/>
          <w:szCs w:val="22"/>
        </w:rPr>
      </w:pPr>
      <w:bookmarkStart w:id="13" w:name="_heading=h.lnxbz9" w:colFirst="0" w:colLast="0"/>
      <w:bookmarkEnd w:id="13"/>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2F76D186"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If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7C50CD94"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42EBA70B"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657429A2" w14:textId="77777777" w:rsidR="00ED5147" w:rsidRDefault="003B423D">
      <w:pPr>
        <w:pStyle w:val="Heading1"/>
        <w:numPr>
          <w:ilvl w:val="0"/>
          <w:numId w:val="3"/>
        </w:numPr>
      </w:pPr>
      <w:proofErr w:type="spellStart"/>
      <w:r>
        <w:t>Period</w:t>
      </w:r>
      <w:proofErr w:type="spellEnd"/>
      <w:r>
        <w:t xml:space="preserve"> of </w:t>
      </w:r>
      <w:proofErr w:type="spellStart"/>
      <w:r>
        <w:t>validity</w:t>
      </w:r>
      <w:proofErr w:type="spellEnd"/>
    </w:p>
    <w:p w14:paraId="346E277C"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00ED8EA7"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34863E89" w14:textId="77777777" w:rsidR="00ED5147" w:rsidRDefault="003B423D">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1D19EB82" w14:textId="77777777" w:rsidR="00ED5147" w:rsidRDefault="003B423D">
      <w:pPr>
        <w:pStyle w:val="Heading1"/>
        <w:numPr>
          <w:ilvl w:val="0"/>
          <w:numId w:val="3"/>
        </w:numPr>
      </w:pPr>
      <w:bookmarkStart w:id="14" w:name="_heading=h.35nkun2" w:colFirst="0" w:colLast="0"/>
      <w:bookmarkEnd w:id="14"/>
      <w:proofErr w:type="spellStart"/>
      <w:r>
        <w:t>Language</w:t>
      </w:r>
      <w:proofErr w:type="spellEnd"/>
      <w:r>
        <w:t xml:space="preserve"> of tenders</w:t>
      </w:r>
    </w:p>
    <w:p w14:paraId="066CA220"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109450D3"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24ED6A69" w14:textId="77777777" w:rsidR="00ED5147" w:rsidRDefault="003B423D">
      <w:pPr>
        <w:pStyle w:val="Heading1"/>
        <w:numPr>
          <w:ilvl w:val="0"/>
          <w:numId w:val="3"/>
        </w:numPr>
      </w:pPr>
      <w:bookmarkStart w:id="15" w:name="_heading=h.1ksv4uv" w:colFirst="0" w:colLast="0"/>
      <w:bookmarkEnd w:id="15"/>
      <w:proofErr w:type="spellStart"/>
      <w:r>
        <w:t>Submission</w:t>
      </w:r>
      <w:proofErr w:type="spellEnd"/>
      <w:r>
        <w:t xml:space="preserve"> of tenders</w:t>
      </w:r>
    </w:p>
    <w:p w14:paraId="4317FF5F" w14:textId="77777777" w:rsidR="00ED5147" w:rsidRDefault="003B423D">
      <w:pPr>
        <w:pStyle w:val="Heading2"/>
        <w:keepNext w:val="0"/>
        <w:ind w:left="567" w:hanging="567"/>
        <w:jc w:val="both"/>
        <w:rPr>
          <w:rFonts w:ascii="Times New Roman" w:eastAsia="Times New Roman" w:hAnsi="Times New Roman" w:cs="Times New Roman"/>
        </w:rPr>
      </w:pPr>
      <w:bookmarkStart w:id="16" w:name="_heading=h.44sinio" w:colFirst="0" w:colLast="0"/>
      <w:bookmarkEnd w:id="16"/>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0AACAAB5" w14:textId="42532C15"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1 Prof. </w:t>
      </w:r>
      <w:r w:rsidR="00857421">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8000 Burgas, Bulgaria</w:t>
      </w:r>
    </w:p>
    <w:p w14:paraId="1D1D8C9E"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If the tenders are hand </w:t>
      </w:r>
      <w:proofErr w:type="gramStart"/>
      <w:r>
        <w:rPr>
          <w:rFonts w:ascii="Times New Roman" w:eastAsia="Times New Roman" w:hAnsi="Times New Roman" w:cs="Times New Roman"/>
          <w:sz w:val="22"/>
          <w:szCs w:val="22"/>
        </w:rPr>
        <w:t>delivered</w:t>
      </w:r>
      <w:proofErr w:type="gramEnd"/>
      <w:r>
        <w:rPr>
          <w:rFonts w:ascii="Times New Roman" w:eastAsia="Times New Roman" w:hAnsi="Times New Roman" w:cs="Times New Roman"/>
          <w:sz w:val="22"/>
          <w:szCs w:val="22"/>
        </w:rPr>
        <w:t xml:space="preserve"> they should be delivered to the following address:</w:t>
      </w:r>
    </w:p>
    <w:p w14:paraId="11A838FB" w14:textId="018A5182"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1 Prof. </w:t>
      </w:r>
      <w:r w:rsidR="00857421">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8000 Burgas, Bulgaria</w:t>
      </w:r>
    </w:p>
    <w:p w14:paraId="7D9EB5C5"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From 9.00-17.00</w:t>
      </w:r>
    </w:p>
    <w:p w14:paraId="4CB0366F"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must comply with the following conditions:</w:t>
      </w:r>
    </w:p>
    <w:p w14:paraId="1F252182" w14:textId="77777777" w:rsidR="00ED5147" w:rsidRDefault="003B423D">
      <w:pPr>
        <w:pStyle w:val="Heading2"/>
        <w:ind w:left="567" w:hanging="567"/>
        <w:jc w:val="both"/>
        <w:rPr>
          <w:rFonts w:ascii="Times New Roman" w:eastAsia="Times New Roman" w:hAnsi="Times New Roman" w:cs="Times New Roman"/>
        </w:rPr>
      </w:pPr>
      <w:bookmarkStart w:id="17" w:name="_heading=h.2jxsxqh" w:colFirst="0" w:colLast="0"/>
      <w:bookmarkEnd w:id="17"/>
      <w:r>
        <w:rPr>
          <w:rFonts w:ascii="Times New Roman" w:eastAsia="Times New Roman" w:hAnsi="Times New Roman" w:cs="Times New Roman"/>
          <w:sz w:val="22"/>
          <w:szCs w:val="22"/>
        </w:rPr>
        <w:lastRenderedPageBreak/>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6E834241" w14:textId="78D058D0"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r w:rsidR="00857421">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xml:space="preserve">., 8000 </w:t>
      </w:r>
      <w:proofErr w:type="gramStart"/>
      <w:r>
        <w:rPr>
          <w:rFonts w:ascii="Times New Roman" w:eastAsia="Times New Roman" w:hAnsi="Times New Roman" w:cs="Times New Roman"/>
          <w:sz w:val="22"/>
          <w:szCs w:val="22"/>
        </w:rPr>
        <w:t>Burgas ,</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Bulgaria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r w:rsidR="00857421">
        <w:rPr>
          <w:rFonts w:ascii="Times New Roman" w:eastAsia="Times New Roman" w:hAnsi="Times New Roman" w:cs="Times New Roman"/>
          <w:sz w:val="22"/>
          <w:szCs w:val="22"/>
        </w:rPr>
        <w:t>28.10</w:t>
      </w:r>
      <w:r>
        <w:rPr>
          <w:rFonts w:ascii="Times New Roman" w:eastAsia="Times New Roman" w:hAnsi="Times New Roman" w:cs="Times New Roman"/>
          <w:sz w:val="22"/>
          <w:szCs w:val="22"/>
        </w:rPr>
        <w:t>.2021, 17.00 h.</w:t>
      </w:r>
    </w:p>
    <w:p w14:paraId="3C91A323"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3A2C425E"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4EFAE305" w14:textId="77777777" w:rsidR="00ED5147" w:rsidRDefault="003B423D">
      <w:pPr>
        <w:pStyle w:val="Heading2"/>
        <w:keepNext w:val="0"/>
        <w:ind w:left="567"/>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09E40C9D"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0CC495B1"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6CAF52AF" w14:textId="6BEC25DC"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reference</w:t>
      </w:r>
      <w:proofErr w:type="spellEnd"/>
      <w:r>
        <w:rPr>
          <w:rFonts w:ascii="Times New Roman" w:eastAsia="Times New Roman" w:hAnsi="Times New Roman" w:cs="Times New Roman"/>
          <w:sz w:val="22"/>
          <w:szCs w:val="22"/>
        </w:rPr>
        <w:t xml:space="preserve"> code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(i.e. &lt;</w:t>
      </w:r>
      <w:r>
        <w:t xml:space="preserve"> </w:t>
      </w:r>
      <w:r>
        <w:rPr>
          <w:rFonts w:ascii="Times New Roman" w:eastAsia="Times New Roman" w:hAnsi="Times New Roman" w:cs="Times New Roman"/>
          <w:sz w:val="22"/>
          <w:szCs w:val="22"/>
        </w:rPr>
        <w:t xml:space="preserve">CB005.3.12.001 - LP – </w:t>
      </w:r>
      <w:proofErr w:type="spellStart"/>
      <w:r>
        <w:rPr>
          <w:rFonts w:ascii="Times New Roman" w:eastAsia="Times New Roman" w:hAnsi="Times New Roman" w:cs="Times New Roman"/>
          <w:sz w:val="22"/>
          <w:szCs w:val="22"/>
        </w:rPr>
        <w:t>Supply</w:t>
      </w:r>
      <w:proofErr w:type="spellEnd"/>
      <w:r>
        <w:rPr>
          <w:rFonts w:ascii="Times New Roman" w:eastAsia="Times New Roman" w:hAnsi="Times New Roman" w:cs="Times New Roman"/>
          <w:sz w:val="22"/>
          <w:szCs w:val="22"/>
        </w:rPr>
        <w:t xml:space="preserve"> </w:t>
      </w:r>
      <w:r w:rsidR="00857421">
        <w:rPr>
          <w:rFonts w:ascii="Times New Roman" w:eastAsia="Times New Roman" w:hAnsi="Times New Roman" w:cs="Times New Roman"/>
          <w:sz w:val="22"/>
          <w:szCs w:val="22"/>
        </w:rPr>
        <w:t>5</w:t>
      </w:r>
      <w:r>
        <w:rPr>
          <w:rFonts w:ascii="Times New Roman" w:eastAsia="Times New Roman" w:hAnsi="Times New Roman" w:cs="Times New Roman"/>
          <w:sz w:val="22"/>
          <w:szCs w:val="22"/>
        </w:rPr>
        <w:t>&gt;</w:t>
      </w:r>
      <w:proofErr w:type="gramStart"/>
      <w:r>
        <w:rPr>
          <w:rFonts w:ascii="Times New Roman" w:eastAsia="Times New Roman" w:hAnsi="Times New Roman" w:cs="Times New Roman"/>
          <w:sz w:val="22"/>
          <w:szCs w:val="22"/>
        </w:rPr>
        <w:t>);</w:t>
      </w:r>
      <w:proofErr w:type="gramEnd"/>
    </w:p>
    <w:p w14:paraId="1D03E3EF"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394C1214" w14:textId="77777777" w:rsidR="00ED5147" w:rsidRDefault="003B423D">
      <w:pPr>
        <w:pStyle w:val="Heading2"/>
        <w:keepNext w:val="0"/>
        <w:ind w:left="1418" w:hanging="85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&gt;.</w:t>
      </w:r>
    </w:p>
    <w:p w14:paraId="365E6355"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5E157417" w14:textId="77777777" w:rsidR="00ED5147" w:rsidRDefault="003B423D">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781389BE" w14:textId="77777777" w:rsidR="00ED5147" w:rsidRDefault="00ED5147"/>
    <w:p w14:paraId="209833BD" w14:textId="77777777" w:rsidR="00ED5147" w:rsidRDefault="003B423D">
      <w:pPr>
        <w:pStyle w:val="Heading1"/>
        <w:numPr>
          <w:ilvl w:val="0"/>
          <w:numId w:val="3"/>
        </w:numPr>
      </w:pPr>
      <w:bookmarkStart w:id="18" w:name="_heading=h.z337ya" w:colFirst="0" w:colLast="0"/>
      <w:bookmarkEnd w:id="18"/>
      <w:r>
        <w:t>Content of tenders</w:t>
      </w:r>
    </w:p>
    <w:p w14:paraId="0A059AED" w14:textId="77777777" w:rsidR="00ED5147" w:rsidRDefault="003B423D">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14153198" w14:textId="77777777" w:rsidR="00ED5147" w:rsidRDefault="003B423D">
      <w:pPr>
        <w:keepNext/>
        <w:keepLines/>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1: Technical offer:</w:t>
      </w:r>
    </w:p>
    <w:p w14:paraId="0C1C503D" w14:textId="77777777" w:rsidR="00ED5147" w:rsidRDefault="003B423D">
      <w:pPr>
        <w:pStyle w:val="Heading2"/>
        <w:keepLines/>
        <w:numPr>
          <w:ilvl w:val="0"/>
          <w:numId w:val="1"/>
        </w:numPr>
        <w:spacing w:before="0" w:after="0"/>
        <w:ind w:left="1135" w:hanging="568"/>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w:t>
      </w:r>
    </w:p>
    <w:p w14:paraId="353EFA98" w14:textId="77777777" w:rsidR="00ED5147" w:rsidRDefault="003B423D">
      <w:pPr>
        <w:pStyle w:val="Heading2"/>
        <w:keepLines/>
        <w:spacing w:before="0"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4C20692B" w14:textId="77777777" w:rsidR="00ED5147" w:rsidRDefault="003B423D">
      <w:pPr>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2: Financial offer:</w:t>
      </w:r>
    </w:p>
    <w:p w14:paraId="126F6932" w14:textId="77777777" w:rsidR="00ED5147" w:rsidRDefault="003B423D">
      <w:pPr>
        <w:pStyle w:val="Heading2"/>
        <w:keepNext w:val="0"/>
        <w:numPr>
          <w:ilvl w:val="0"/>
          <w:numId w:val="1"/>
        </w:numPr>
        <w:spacing w:before="0" w:after="0"/>
        <w:ind w:left="567" w:hanging="568"/>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57235D15" w14:textId="77777777" w:rsidR="00ED5147" w:rsidRDefault="003B423D">
      <w:pPr>
        <w:keepNext/>
        <w:keepLines/>
        <w:spacing w:after="0"/>
        <w:ind w:left="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3: Documentation:</w:t>
      </w:r>
    </w:p>
    <w:p w14:paraId="02B6D822" w14:textId="77777777" w:rsidR="00ED5147" w:rsidRDefault="003B423D">
      <w:pPr>
        <w:keepNext/>
        <w:keepLines/>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3B8E3A3D" w14:textId="77777777" w:rsidR="00ED5147" w:rsidRDefault="003B423D">
      <w:pPr>
        <w:numPr>
          <w:ilvl w:val="0"/>
          <w:numId w:val="1"/>
        </w:numPr>
        <w:ind w:left="1134"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5A5CFE3E" w14:textId="77777777" w:rsidR="00ED5147" w:rsidRDefault="003B423D">
      <w:pPr>
        <w:numPr>
          <w:ilvl w:val="0"/>
          <w:numId w:val="1"/>
        </w:numPr>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3C927753" w14:textId="77777777" w:rsidR="00ED5147" w:rsidRDefault="003B423D">
      <w:pPr>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59F88D15" w14:textId="77777777" w:rsidR="00ED5147" w:rsidRDefault="003B423D">
      <w:pPr>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2F4947FB" w14:textId="77777777" w:rsidR="00ED5147" w:rsidRDefault="003B423D">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295B2A7F" w14:textId="77777777" w:rsidR="00ED5147" w:rsidRDefault="003B423D">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297A1A76" w14:textId="77777777" w:rsidR="00ED5147" w:rsidRDefault="003B423D">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4C55EFEB" w14:textId="77777777" w:rsidR="00ED5147" w:rsidRDefault="00ED5147">
      <w:pPr>
        <w:spacing w:after="0"/>
        <w:ind w:left="567"/>
        <w:jc w:val="both"/>
        <w:rPr>
          <w:rFonts w:ascii="Times New Roman" w:eastAsia="Times New Roman" w:hAnsi="Times New Roman" w:cs="Times New Roman"/>
          <w:sz w:val="22"/>
          <w:szCs w:val="22"/>
        </w:rPr>
      </w:pPr>
    </w:p>
    <w:p w14:paraId="17E1D60D" w14:textId="77777777" w:rsidR="00ED5147" w:rsidRDefault="003B423D">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4DDD75BB" w14:textId="77777777" w:rsidR="00ED5147" w:rsidRDefault="003B423D">
      <w:pPr>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43FA6BF0" w14:textId="77777777" w:rsidR="00ED5147" w:rsidRDefault="003B423D">
      <w:pPr>
        <w:ind w:left="567"/>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790BAA54" w14:textId="77777777" w:rsidR="00ED5147" w:rsidRDefault="003B423D">
      <w:pPr>
        <w:tabs>
          <w:tab w:val="left" w:pos="1418"/>
        </w:tabs>
        <w:spacing w:before="0" w:after="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4F92580B" w14:textId="77777777" w:rsidR="00ED5147" w:rsidRDefault="00ED5147">
      <w:pPr>
        <w:rPr>
          <w:rFonts w:ascii="Times New Roman" w:eastAsia="Times New Roman" w:hAnsi="Times New Roman" w:cs="Times New Roman"/>
          <w:sz w:val="22"/>
          <w:szCs w:val="22"/>
        </w:rPr>
      </w:pPr>
    </w:p>
    <w:p w14:paraId="3C487DD4" w14:textId="77777777" w:rsidR="00ED5147" w:rsidRDefault="003B423D">
      <w:pPr>
        <w:pStyle w:val="Heading1"/>
        <w:numPr>
          <w:ilvl w:val="0"/>
          <w:numId w:val="3"/>
        </w:numPr>
      </w:pPr>
      <w:bookmarkStart w:id="20" w:name="_heading=h.1y810tw" w:colFirst="0" w:colLast="0"/>
      <w:bookmarkEnd w:id="20"/>
      <w:r>
        <w:t xml:space="preserve">Taxes and </w:t>
      </w:r>
      <w:proofErr w:type="spellStart"/>
      <w:r>
        <w:t>other</w:t>
      </w:r>
      <w:proofErr w:type="spellEnd"/>
      <w:r>
        <w:t xml:space="preserve"> charges</w:t>
      </w:r>
    </w:p>
    <w:p w14:paraId="44101411" w14:textId="77777777" w:rsidR="00ED5147" w:rsidRDefault="003B423D">
      <w:pPr>
        <w:pStyle w:val="Heading2"/>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applicable </w:t>
      </w:r>
      <w:proofErr w:type="spellStart"/>
      <w:r>
        <w:rPr>
          <w:rFonts w:ascii="Times New Roman" w:eastAsia="Times New Roman" w:hAnsi="Times New Roman" w:cs="Times New Roman"/>
          <w:sz w:val="22"/>
          <w:szCs w:val="22"/>
        </w:rPr>
        <w:t>tax</w:t>
      </w:r>
      <w:proofErr w:type="spellEnd"/>
      <w:r>
        <w:rPr>
          <w:rFonts w:ascii="Times New Roman" w:eastAsia="Times New Roman" w:hAnsi="Times New Roman" w:cs="Times New Roman"/>
          <w:sz w:val="22"/>
          <w:szCs w:val="22"/>
        </w:rPr>
        <w:t xml:space="preserve"> and customs arrangements are the </w:t>
      </w:r>
      <w:proofErr w:type="spellStart"/>
      <w:proofErr w:type="gram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w:t>
      </w:r>
      <w:proofErr w:type="gramEnd"/>
    </w:p>
    <w:p w14:paraId="37DEB927"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There is no agreement between the European Commission and Bulgaria allowing partial or full exemption from taxes.</w:t>
      </w:r>
    </w:p>
    <w:p w14:paraId="7671D300" w14:textId="77777777" w:rsidR="00ED5147" w:rsidRDefault="003B423D">
      <w:pPr>
        <w:pStyle w:val="Heading1"/>
        <w:numPr>
          <w:ilvl w:val="0"/>
          <w:numId w:val="3"/>
        </w:numPr>
      </w:pPr>
      <w:bookmarkStart w:id="21" w:name="_heading=h.4i7ojhp" w:colFirst="0" w:colLast="0"/>
      <w:bookmarkEnd w:id="21"/>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07B88BEF"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4DDCF6B6"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30F1885F" w14:textId="5D756454"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University, 1 Prof.</w:t>
      </w:r>
      <w:r w:rsidR="00857421">
        <w:rPr>
          <w:rFonts w:ascii="Times New Roman" w:eastAsia="Times New Roman" w:hAnsi="Times New Roman" w:cs="Times New Roman"/>
          <w:color w:val="000000"/>
          <w:sz w:val="22"/>
          <w:szCs w:val="22"/>
        </w:rPr>
        <w:t xml:space="preserve"> Y.</w:t>
      </w:r>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3D097FB3" w14:textId="77777777" w:rsidR="00ED5147" w:rsidRDefault="003B423D">
      <w:pPr>
        <w:pBdr>
          <w:top w:val="nil"/>
          <w:left w:val="nil"/>
          <w:bottom w:val="nil"/>
          <w:right w:val="nil"/>
          <w:between w:val="nil"/>
        </w:pBdr>
        <w:ind w:left="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xml:space="preserve"> </w:t>
      </w:r>
    </w:p>
    <w:p w14:paraId="3074D20A"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0CAAA593"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w:t>
      </w:r>
      <w:r w:rsidRPr="00B01ACE">
        <w:rPr>
          <w:rFonts w:ascii="Times New Roman" w:eastAsia="Times New Roman" w:hAnsi="Times New Roman" w:cs="Times New Roman"/>
          <w:color w:val="000000"/>
          <w:sz w:val="22"/>
          <w:szCs w:val="22"/>
        </w:rPr>
        <w:t xml:space="preserve">address: </w:t>
      </w:r>
      <w:hyperlink r:id="rId11" w:tgtFrame="_blank" w:history="1">
        <w:r w:rsidR="00732C32" w:rsidRPr="00B01ACE">
          <w:rPr>
            <w:rStyle w:val="Hyperlink"/>
            <w:rFonts w:ascii="Times New Roman" w:hAnsi="Times New Roman" w:cs="Times New Roman"/>
            <w:color w:val="1155CC"/>
            <w:sz w:val="22"/>
            <w:szCs w:val="22"/>
            <w:shd w:val="clear" w:color="auto" w:fill="FFFFFF"/>
          </w:rPr>
          <w:t>https://www.btu.bg/index.php/bg/obsht-porachki-bg-m/profil-na-kupuvacha-m-bg/7-bulgarian-bg/841-blue-growth-computers-bg</w:t>
        </w:r>
      </w:hyperlink>
      <w:r>
        <w:rPr>
          <w:rFonts w:ascii="Times New Roman" w:eastAsia="Times New Roman" w:hAnsi="Times New Roman" w:cs="Times New Roman"/>
          <w:color w:val="000000"/>
          <w:sz w:val="22"/>
          <w:szCs w:val="22"/>
        </w:rPr>
        <w:t xml:space="preserve"> 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w:t>
      </w:r>
      <w:proofErr w:type="gramStart"/>
      <w:r>
        <w:rPr>
          <w:rFonts w:ascii="Times New Roman" w:eastAsia="Times New Roman" w:hAnsi="Times New Roman" w:cs="Times New Roman"/>
          <w:color w:val="000000"/>
          <w:sz w:val="22"/>
          <w:szCs w:val="22"/>
        </w:rPr>
        <w:t>regularly</w:t>
      </w:r>
      <w:proofErr w:type="gramEnd"/>
      <w:r>
        <w:rPr>
          <w:rFonts w:ascii="Times New Roman" w:eastAsia="Times New Roman" w:hAnsi="Times New Roman" w:cs="Times New Roman"/>
          <w:color w:val="000000"/>
          <w:sz w:val="22"/>
          <w:szCs w:val="22"/>
        </w:rPr>
        <w:t xml:space="preserve"> and it is the tenderer’s responsibility to check for updates and modifications during the submission period.</w:t>
      </w:r>
    </w:p>
    <w:p w14:paraId="099EA703"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Any prospective tenderers seeking to arrange individual meetings with either the contracting authority and/or the European Commission during the tender period may be excluded from the tender procedure.</w:t>
      </w:r>
    </w:p>
    <w:p w14:paraId="2679D0D1" w14:textId="77777777" w:rsidR="00ED5147" w:rsidRDefault="003B423D">
      <w:pPr>
        <w:pStyle w:val="Heading1"/>
        <w:numPr>
          <w:ilvl w:val="0"/>
          <w:numId w:val="3"/>
        </w:numPr>
      </w:pPr>
      <w:bookmarkStart w:id="22" w:name="_heading=h.2xcytpi" w:colFirst="0" w:colLast="0"/>
      <w:bookmarkEnd w:id="22"/>
      <w:r>
        <w:t xml:space="preserve">Clarification meeting / site </w:t>
      </w:r>
      <w:proofErr w:type="spellStart"/>
      <w:r>
        <w:t>visit</w:t>
      </w:r>
      <w:proofErr w:type="spellEnd"/>
    </w:p>
    <w:p w14:paraId="2A4CBAA4" w14:textId="77777777" w:rsidR="00ED5147" w:rsidRDefault="003B423D">
      <w:pPr>
        <w:pBdr>
          <w:top w:val="nil"/>
          <w:left w:val="nil"/>
          <w:bottom w:val="nil"/>
          <w:right w:val="nil"/>
          <w:between w:val="nil"/>
        </w:pBdr>
        <w:ind w:left="567" w:hanging="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5CA101D0" w14:textId="77777777" w:rsidR="00ED5147" w:rsidRDefault="003B423D">
      <w:pPr>
        <w:pStyle w:val="Heading1"/>
        <w:numPr>
          <w:ilvl w:val="0"/>
          <w:numId w:val="3"/>
        </w:numPr>
      </w:pPr>
      <w:bookmarkStart w:id="23" w:name="_heading=h.1ci93xb" w:colFirst="0" w:colLast="0"/>
      <w:bookmarkEnd w:id="23"/>
      <w:r>
        <w:t xml:space="preserve">Alteration or </w:t>
      </w:r>
      <w:proofErr w:type="spellStart"/>
      <w:r>
        <w:t>withdrawal</w:t>
      </w:r>
      <w:proofErr w:type="spellEnd"/>
      <w:r>
        <w:t xml:space="preserve"> of tenders</w:t>
      </w:r>
    </w:p>
    <w:p w14:paraId="27CF7968" w14:textId="77777777" w:rsidR="00ED5147" w:rsidRDefault="003B423D">
      <w:pPr>
        <w:pStyle w:val="Heading2"/>
        <w:keepLine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5D715363"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5F98D72D"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0583CDDD" w14:textId="77777777" w:rsidR="00ED5147" w:rsidRDefault="003B423D">
      <w:pPr>
        <w:pStyle w:val="Heading1"/>
        <w:numPr>
          <w:ilvl w:val="0"/>
          <w:numId w:val="3"/>
        </w:numPr>
      </w:pPr>
      <w:bookmarkStart w:id="24" w:name="_heading=h.3whwml4" w:colFirst="0" w:colLast="0"/>
      <w:bookmarkEnd w:id="24"/>
      <w:proofErr w:type="spellStart"/>
      <w:r>
        <w:t>Costs</w:t>
      </w:r>
      <w:proofErr w:type="spellEnd"/>
      <w:r>
        <w:t xml:space="preserve"> of </w:t>
      </w:r>
      <w:proofErr w:type="spellStart"/>
      <w:r>
        <w:t>preparing</w:t>
      </w:r>
      <w:proofErr w:type="spellEnd"/>
      <w:r>
        <w:t xml:space="preserve"> tenders</w:t>
      </w:r>
    </w:p>
    <w:p w14:paraId="2C7D5C12" w14:textId="77777777" w:rsidR="00ED5147" w:rsidRDefault="003B423D">
      <w:pPr>
        <w:tabs>
          <w:tab w:val="left" w:pos="567"/>
        </w:tabs>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6041EEA3" w14:textId="77777777" w:rsidR="00ED5147" w:rsidRDefault="003B423D">
      <w:pPr>
        <w:pStyle w:val="Heading1"/>
        <w:numPr>
          <w:ilvl w:val="0"/>
          <w:numId w:val="3"/>
        </w:numPr>
      </w:pPr>
      <w:bookmarkStart w:id="25" w:name="_heading=h.2bn6wsx" w:colFirst="0" w:colLast="0"/>
      <w:bookmarkEnd w:id="25"/>
      <w:proofErr w:type="spellStart"/>
      <w:r>
        <w:t>Ownership</w:t>
      </w:r>
      <w:proofErr w:type="spellEnd"/>
      <w:r>
        <w:t xml:space="preserve"> of tenders</w:t>
      </w:r>
    </w:p>
    <w:p w14:paraId="5C6CC3B9"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539D683F" w14:textId="7B96CAA5" w:rsidR="00ED5147" w:rsidRDefault="003B423D">
      <w:pPr>
        <w:pStyle w:val="Heading1"/>
        <w:numPr>
          <w:ilvl w:val="0"/>
          <w:numId w:val="3"/>
        </w:numPr>
      </w:pPr>
      <w:bookmarkStart w:id="26" w:name="_heading=h.qsh70q" w:colFirst="0" w:colLast="0"/>
      <w:bookmarkEnd w:id="26"/>
      <w:r>
        <w:t>Joint</w:t>
      </w:r>
      <w:r w:rsidR="00857421">
        <w:t>-</w:t>
      </w:r>
      <w:r>
        <w:t>venture or consortium</w:t>
      </w:r>
    </w:p>
    <w:p w14:paraId="58B52322" w14:textId="39973A2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3811BEEC" w14:textId="1AD0F0FC"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85742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1BD628F8" w14:textId="77777777" w:rsidR="00ED5147" w:rsidRDefault="003B423D">
      <w:pPr>
        <w:pStyle w:val="Heading1"/>
        <w:numPr>
          <w:ilvl w:val="0"/>
          <w:numId w:val="3"/>
        </w:numPr>
      </w:pPr>
      <w:bookmarkStart w:id="27" w:name="_heading=h.3as4poj" w:colFirst="0" w:colLast="0"/>
      <w:bookmarkEnd w:id="27"/>
      <w:proofErr w:type="spellStart"/>
      <w:r>
        <w:t>Opening</w:t>
      </w:r>
      <w:proofErr w:type="spellEnd"/>
      <w:r>
        <w:t xml:space="preserve"> of tenders</w:t>
      </w:r>
    </w:p>
    <w:p w14:paraId="01EE85A5"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3689AC5C" w14:textId="124FB1B8" w:rsidR="00ED5147" w:rsidRDefault="003B423D">
      <w:pPr>
        <w:pStyle w:val="Heading2"/>
        <w:keepNext w:val="0"/>
        <w:ind w:left="567" w:hanging="567"/>
        <w:jc w:val="both"/>
        <w:rPr>
          <w:rFonts w:ascii="Times New Roman" w:eastAsia="Times New Roman" w:hAnsi="Times New Roman" w:cs="Times New Roman"/>
          <w:sz w:val="22"/>
          <w:szCs w:val="22"/>
        </w:rPr>
      </w:pPr>
      <w:r w:rsidRPr="00B01ACE">
        <w:rPr>
          <w:rFonts w:ascii="Times New Roman" w:eastAsia="Times New Roman" w:hAnsi="Times New Roman" w:cs="Times New Roman"/>
          <w:sz w:val="22"/>
          <w:szCs w:val="22"/>
        </w:rPr>
        <w:t>19.2</w:t>
      </w:r>
      <w:r w:rsidRPr="00B01ACE">
        <w:rPr>
          <w:rFonts w:ascii="Times New Roman" w:eastAsia="Times New Roman" w:hAnsi="Times New Roman" w:cs="Times New Roman"/>
          <w:sz w:val="22"/>
          <w:szCs w:val="22"/>
        </w:rPr>
        <w:tab/>
        <w:t xml:space="preserve">The tenders </w:t>
      </w:r>
      <w:proofErr w:type="spellStart"/>
      <w:r w:rsidRPr="00B01ACE">
        <w:rPr>
          <w:rFonts w:ascii="Times New Roman" w:eastAsia="Times New Roman" w:hAnsi="Times New Roman" w:cs="Times New Roman"/>
          <w:sz w:val="22"/>
          <w:szCs w:val="22"/>
        </w:rPr>
        <w:t>will</w:t>
      </w:r>
      <w:proofErr w:type="spellEnd"/>
      <w:r w:rsidRPr="00B01ACE">
        <w:rPr>
          <w:rFonts w:ascii="Times New Roman" w:eastAsia="Times New Roman" w:hAnsi="Times New Roman" w:cs="Times New Roman"/>
          <w:sz w:val="22"/>
          <w:szCs w:val="22"/>
        </w:rPr>
        <w:t xml:space="preserve"> </w:t>
      </w:r>
      <w:proofErr w:type="spellStart"/>
      <w:r w:rsidRPr="00B01ACE">
        <w:rPr>
          <w:rFonts w:ascii="Times New Roman" w:eastAsia="Times New Roman" w:hAnsi="Times New Roman" w:cs="Times New Roman"/>
          <w:sz w:val="22"/>
          <w:szCs w:val="22"/>
        </w:rPr>
        <w:t>be</w:t>
      </w:r>
      <w:proofErr w:type="spellEnd"/>
      <w:r w:rsidRPr="00B01ACE">
        <w:rPr>
          <w:rFonts w:ascii="Times New Roman" w:eastAsia="Times New Roman" w:hAnsi="Times New Roman" w:cs="Times New Roman"/>
          <w:sz w:val="22"/>
          <w:szCs w:val="22"/>
        </w:rPr>
        <w:t xml:space="preserve"> </w:t>
      </w:r>
      <w:proofErr w:type="spellStart"/>
      <w:r w:rsidRPr="00B01ACE">
        <w:rPr>
          <w:rFonts w:ascii="Times New Roman" w:eastAsia="Times New Roman" w:hAnsi="Times New Roman" w:cs="Times New Roman"/>
          <w:sz w:val="22"/>
          <w:szCs w:val="22"/>
        </w:rPr>
        <w:t>opened</w:t>
      </w:r>
      <w:proofErr w:type="spellEnd"/>
      <w:r w:rsidRPr="00B01ACE">
        <w:rPr>
          <w:rFonts w:ascii="Times New Roman" w:eastAsia="Times New Roman" w:hAnsi="Times New Roman" w:cs="Times New Roman"/>
          <w:sz w:val="22"/>
          <w:szCs w:val="22"/>
        </w:rPr>
        <w:t xml:space="preserve"> in public session on </w:t>
      </w:r>
      <w:r w:rsidR="00857421" w:rsidRPr="00B01ACE">
        <w:rPr>
          <w:rFonts w:ascii="Times New Roman" w:eastAsia="Times New Roman" w:hAnsi="Times New Roman" w:cs="Times New Roman"/>
          <w:sz w:val="22"/>
          <w:szCs w:val="22"/>
        </w:rPr>
        <w:t>08</w:t>
      </w:r>
      <w:r w:rsidRPr="00B01ACE">
        <w:rPr>
          <w:rFonts w:ascii="Times New Roman" w:eastAsia="Times New Roman" w:hAnsi="Times New Roman" w:cs="Times New Roman"/>
          <w:sz w:val="22"/>
          <w:szCs w:val="22"/>
        </w:rPr>
        <w:t>.</w:t>
      </w:r>
      <w:r w:rsidR="00857421" w:rsidRPr="00B01ACE">
        <w:rPr>
          <w:rFonts w:ascii="Times New Roman" w:eastAsia="Times New Roman" w:hAnsi="Times New Roman" w:cs="Times New Roman"/>
          <w:sz w:val="22"/>
          <w:szCs w:val="22"/>
        </w:rPr>
        <w:t>11</w:t>
      </w:r>
      <w:r w:rsidRPr="00B01ACE">
        <w:rPr>
          <w:rFonts w:ascii="Times New Roman" w:eastAsia="Times New Roman" w:hAnsi="Times New Roman" w:cs="Times New Roman"/>
          <w:sz w:val="22"/>
          <w:szCs w:val="22"/>
        </w:rPr>
        <w:t xml:space="preserve">.2021 at 14.00 h at “Prof. D-r </w:t>
      </w:r>
      <w:proofErr w:type="spellStart"/>
      <w:r w:rsidRPr="00B01ACE">
        <w:rPr>
          <w:rFonts w:ascii="Times New Roman" w:eastAsia="Times New Roman" w:hAnsi="Times New Roman" w:cs="Times New Roman"/>
          <w:sz w:val="22"/>
          <w:szCs w:val="22"/>
        </w:rPr>
        <w:t>Asen</w:t>
      </w:r>
      <w:proofErr w:type="spellEnd"/>
      <w:r w:rsidRPr="00B01ACE">
        <w:rPr>
          <w:rFonts w:ascii="Times New Roman" w:eastAsia="Times New Roman" w:hAnsi="Times New Roman" w:cs="Times New Roman"/>
          <w:sz w:val="22"/>
          <w:szCs w:val="22"/>
        </w:rPr>
        <w:t xml:space="preserve"> </w:t>
      </w:r>
      <w:proofErr w:type="spellStart"/>
      <w:r w:rsidRPr="00B01ACE">
        <w:rPr>
          <w:rFonts w:ascii="Times New Roman" w:eastAsia="Times New Roman" w:hAnsi="Times New Roman" w:cs="Times New Roman"/>
          <w:sz w:val="22"/>
          <w:szCs w:val="22"/>
        </w:rPr>
        <w:t>Zlatarov</w:t>
      </w:r>
      <w:proofErr w:type="spellEnd"/>
      <w:r w:rsidRPr="00B01ACE">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r w:rsidR="00857421">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xml:space="preserve">., 8000 Burgas, </w:t>
      </w:r>
      <w:proofErr w:type="spellStart"/>
      <w:r>
        <w:rPr>
          <w:rFonts w:ascii="Times New Roman" w:eastAsia="Times New Roman" w:hAnsi="Times New Roman" w:cs="Times New Roman"/>
          <w:sz w:val="22"/>
          <w:szCs w:val="22"/>
        </w:rPr>
        <w:t>Bulgaria</w:t>
      </w:r>
      <w:proofErr w:type="spellEnd"/>
      <w:r w:rsidR="00732C32">
        <w:rPr>
          <w:rFonts w:ascii="Times New Roman" w:eastAsia="Times New Roman" w:hAnsi="Times New Roman" w:cs="Times New Roman"/>
          <w:sz w:val="22"/>
          <w:szCs w:val="22"/>
        </w:rPr>
        <w:t xml:space="preserve">, </w:t>
      </w:r>
      <w:proofErr w:type="spellStart"/>
      <w:r w:rsidR="00732C32">
        <w:rPr>
          <w:rFonts w:ascii="Times New Roman" w:eastAsia="Times New Roman" w:hAnsi="Times New Roman" w:cs="Times New Roman"/>
          <w:sz w:val="22"/>
          <w:szCs w:val="22"/>
        </w:rPr>
        <w:t>Rectorate</w:t>
      </w:r>
      <w:proofErr w:type="spellEnd"/>
      <w:r w:rsidR="00732C32">
        <w:rPr>
          <w:rFonts w:ascii="Times New Roman" w:eastAsia="Times New Roman" w:hAnsi="Times New Roman" w:cs="Times New Roman"/>
          <w:sz w:val="22"/>
          <w:szCs w:val="22"/>
        </w:rPr>
        <w:t xml:space="preserve"> building, hall 212</w:t>
      </w:r>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lastRenderedPageBreak/>
        <w:t>appointed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draw</w:t>
      </w:r>
      <w:proofErr w:type="spellEnd"/>
      <w:r>
        <w:rPr>
          <w:rFonts w:ascii="Times New Roman" w:eastAsia="Times New Roman" w:hAnsi="Times New Roman" w:cs="Times New Roman"/>
          <w:sz w:val="22"/>
          <w:szCs w:val="22"/>
        </w:rPr>
        <w:t xml:space="preserve"> up minutes of the meeting,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available</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
    <w:p w14:paraId="5AA61FB6"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21B753D"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626D831E"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1E4C0D90"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66B103DC"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2FEDF1C1" w14:textId="77777777" w:rsidR="00ED5147" w:rsidRDefault="003B423D">
      <w:pPr>
        <w:pStyle w:val="Heading1"/>
        <w:numPr>
          <w:ilvl w:val="0"/>
          <w:numId w:val="3"/>
        </w:numPr>
      </w:pPr>
      <w:bookmarkStart w:id="28" w:name="_heading=h.1pxezwc" w:colFirst="0" w:colLast="0"/>
      <w:bookmarkEnd w:id="28"/>
      <w:r>
        <w:t>Evaluation of tenders</w:t>
      </w:r>
    </w:p>
    <w:p w14:paraId="566042FE"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45F6E7DC" w14:textId="77777777" w:rsidR="00ED5147" w:rsidRDefault="003B423D">
      <w:pPr>
        <w:ind w:left="567"/>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C29B7BE" w14:textId="77777777" w:rsidR="00ED5147" w:rsidRDefault="003B423D">
      <w:pPr>
        <w:ind w:left="567"/>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577ABF2D"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1B05024F"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2A3645D3" w14:textId="77777777" w:rsidR="00ED5147" w:rsidRDefault="003B423D">
      <w:pPr>
        <w:spacing w:before="0"/>
        <w:ind w:left="567"/>
        <w:jc w:val="both"/>
        <w:rPr>
          <w:rFonts w:ascii="Times New Roman" w:eastAsia="Times New Roman" w:hAnsi="Times New Roman" w:cs="Times New Roman"/>
          <w:sz w:val="22"/>
          <w:szCs w:val="22"/>
        </w:rPr>
      </w:pPr>
      <w:bookmarkStart w:id="29" w:name="_heading=h.49x2ik5" w:colFirst="0" w:colLast="0"/>
      <w:bookmarkEnd w:id="29"/>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7F21812C" w14:textId="77777777" w:rsidR="00ED5147" w:rsidRDefault="003B423D">
      <w:pPr>
        <w:pStyle w:val="Heading2"/>
        <w:keepNext w:val="0"/>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436566CD" w14:textId="77777777" w:rsidR="00ED5147" w:rsidRDefault="003B423D">
      <w:pPr>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24259D04" w14:textId="77777777" w:rsidR="00ED5147" w:rsidRDefault="003B423D">
      <w:pPr>
        <w:pStyle w:val="Heading2"/>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w:t>
      </w:r>
      <w:r>
        <w:rPr>
          <w:rFonts w:ascii="Times New Roman" w:eastAsia="Times New Roman" w:hAnsi="Times New Roman" w:cs="Times New Roman"/>
          <w:sz w:val="22"/>
          <w:szCs w:val="22"/>
        </w:rPr>
        <w:lastRenderedPageBreak/>
        <w:t xml:space="preserve">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5205746D"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36504880" w14:textId="77777777" w:rsidR="00ED5147" w:rsidRDefault="003B423D">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40FA143E" w14:textId="77777777" w:rsidR="00ED5147" w:rsidRDefault="003B423D">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54E75BC6" w14:textId="77777777" w:rsidR="00ED5147" w:rsidRDefault="003B423D">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4AB89F2F" w14:textId="77777777" w:rsidR="00ED5147" w:rsidRDefault="003B423D">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27BFA944" w14:textId="77777777" w:rsidR="00ED5147" w:rsidRDefault="003B423D">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additional costs.</w:t>
      </w:r>
    </w:p>
    <w:p w14:paraId="7ECD4B59"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24D097A2" w14:textId="77777777" w:rsidR="00ED5147" w:rsidRDefault="003B423D">
      <w:pPr>
        <w:ind w:left="567"/>
        <w:jc w:val="both"/>
      </w:pPr>
      <w:r>
        <w:rPr>
          <w:rFonts w:ascii="Times New Roman" w:eastAsia="Times New Roman" w:hAnsi="Times New Roman" w:cs="Times New Roman"/>
          <w:sz w:val="22"/>
          <w:szCs w:val="22"/>
        </w:rPr>
        <w:t>Variant solutions will not be taken into consideration.</w:t>
      </w:r>
    </w:p>
    <w:p w14:paraId="7155F6E4" w14:textId="77777777" w:rsidR="00ED5147" w:rsidRDefault="003B423D">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09ED8F41" w14:textId="77777777" w:rsidR="00ED5147" w:rsidRDefault="003B423D">
      <w:pPr>
        <w:ind w:left="567" w:firstLine="11"/>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799D5EFE" w14:textId="77777777" w:rsidR="00ED5147" w:rsidRDefault="00ED5147">
      <w:pPr>
        <w:jc w:val="both"/>
        <w:rPr>
          <w:rFonts w:ascii="Times New Roman" w:eastAsia="Times New Roman" w:hAnsi="Times New Roman" w:cs="Times New Roman"/>
          <w:sz w:val="22"/>
          <w:szCs w:val="22"/>
        </w:rPr>
      </w:pPr>
    </w:p>
    <w:p w14:paraId="255220D3" w14:textId="77777777" w:rsidR="00ED5147" w:rsidRDefault="003B423D">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5AC1FD84"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5F279A00" w14:textId="77777777" w:rsidR="00ED5147" w:rsidRDefault="003B423D" w:rsidP="00732C32">
      <w:pPr>
        <w:pStyle w:val="Heading1"/>
        <w:numPr>
          <w:ilvl w:val="0"/>
          <w:numId w:val="0"/>
        </w:numPr>
      </w:pPr>
      <w:bookmarkStart w:id="30" w:name="_heading=h.2p2csry" w:colFirst="0" w:colLast="0"/>
      <w:bookmarkEnd w:id="30"/>
      <w:r>
        <w:t>22.</w:t>
      </w:r>
      <w:r>
        <w:tab/>
        <w:t xml:space="preserve">Signature of the </w:t>
      </w:r>
      <w:proofErr w:type="spellStart"/>
      <w:r>
        <w:t>contract</w:t>
      </w:r>
      <w:proofErr w:type="spellEnd"/>
      <w:r>
        <w:t xml:space="preserve"> and performance </w:t>
      </w:r>
      <w:proofErr w:type="spellStart"/>
      <w:r>
        <w:t>guarantee</w:t>
      </w:r>
      <w:proofErr w:type="spellEnd"/>
    </w:p>
    <w:p w14:paraId="0D4BE52B" w14:textId="77777777" w:rsidR="00ED5147" w:rsidRDefault="003B423D">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33A35D11" w14:textId="77777777" w:rsidR="00ED5147" w:rsidRDefault="003B423D">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1D3622BB"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40DF1356" w14:textId="77777777" w:rsidR="00ED5147" w:rsidRDefault="003B423D">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48F594F2"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lastRenderedPageBreak/>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105FE56E"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9F15473" w14:textId="77777777" w:rsidR="00ED5147" w:rsidRDefault="00ED5147">
      <w:pPr>
        <w:ind w:left="567" w:firstLine="32"/>
        <w:jc w:val="both"/>
        <w:rPr>
          <w:rFonts w:ascii="Times New Roman" w:eastAsia="Times New Roman" w:hAnsi="Times New Roman" w:cs="Times New Roman"/>
          <w:color w:val="000000"/>
          <w:sz w:val="22"/>
          <w:szCs w:val="22"/>
        </w:rPr>
      </w:pPr>
    </w:p>
    <w:p w14:paraId="4A418F0D"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019C64E" w14:textId="77777777" w:rsidR="00ED5147" w:rsidRDefault="003B423D">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07D97D59" w14:textId="77777777" w:rsidR="00ED5147" w:rsidRDefault="003B423D">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3DAA7F19"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50DAABA9" w14:textId="77777777" w:rsidR="00ED5147" w:rsidRDefault="003B423D">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6FF85A78" w14:textId="77777777" w:rsidR="00ED5147" w:rsidRDefault="003B423D" w:rsidP="00732C32">
      <w:pPr>
        <w:pStyle w:val="Heading1"/>
        <w:numPr>
          <w:ilvl w:val="0"/>
          <w:numId w:val="0"/>
        </w:numPr>
      </w:pPr>
      <w:bookmarkStart w:id="31" w:name="_heading=h.147n2zr" w:colFirst="0" w:colLast="0"/>
      <w:bookmarkEnd w:id="31"/>
      <w:r>
        <w:t>23.</w:t>
      </w:r>
      <w:r>
        <w:tab/>
        <w:t xml:space="preserve">Tender </w:t>
      </w:r>
      <w:proofErr w:type="spellStart"/>
      <w:r>
        <w:t>guarantee</w:t>
      </w:r>
      <w:proofErr w:type="spellEnd"/>
    </w:p>
    <w:p w14:paraId="25B392E6" w14:textId="77777777" w:rsidR="00ED5147" w:rsidRDefault="003B423D">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75174B35" w14:textId="77777777" w:rsidR="00ED5147" w:rsidRDefault="003B423D" w:rsidP="00732C32">
      <w:pPr>
        <w:pStyle w:val="Heading1"/>
        <w:numPr>
          <w:ilvl w:val="0"/>
          <w:numId w:val="0"/>
        </w:numPr>
      </w:pPr>
      <w:bookmarkStart w:id="32" w:name="_heading=h.3o7alnk" w:colFirst="0" w:colLast="0"/>
      <w:bookmarkEnd w:id="32"/>
      <w:r>
        <w:t xml:space="preserve">24. </w:t>
      </w:r>
      <w:proofErr w:type="spellStart"/>
      <w:r>
        <w:t>Ethics</w:t>
      </w:r>
      <w:proofErr w:type="spellEnd"/>
      <w:r>
        <w:t xml:space="preserve"> clauses and code of </w:t>
      </w:r>
      <w:proofErr w:type="spellStart"/>
      <w:r>
        <w:t>conduct</w:t>
      </w:r>
      <w:proofErr w:type="spellEnd"/>
    </w:p>
    <w:p w14:paraId="19AD1F4D" w14:textId="77777777" w:rsidR="00ED5147" w:rsidRDefault="003B423D">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219687F2" w14:textId="77777777" w:rsidR="00ED5147" w:rsidRDefault="003B423D">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6EA0085"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7A22AB3B" w14:textId="77777777" w:rsidR="00ED5147" w:rsidRDefault="003B423D">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w:t>
      </w:r>
      <w:r>
        <w:rPr>
          <w:rFonts w:ascii="Times New Roman" w:eastAsia="Times New Roman" w:hAnsi="Times New Roman" w:cs="Times New Roman"/>
          <w:sz w:val="22"/>
          <w:szCs w:val="22"/>
        </w:rPr>
        <w:lastRenderedPageBreak/>
        <w:t>association and collective bargaining; elimination of forced and compulsory labour; abolition of child labour).</w:t>
      </w:r>
    </w:p>
    <w:p w14:paraId="1F0FEA20" w14:textId="77777777" w:rsidR="00ED5147" w:rsidRDefault="003B423D">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Zero tolerance for sexual exploitation, abuse and harassment:</w:t>
      </w:r>
    </w:p>
    <w:p w14:paraId="4095927C" w14:textId="77777777" w:rsidR="00ED5147" w:rsidRDefault="003B423D">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4521761D" w14:textId="77777777" w:rsidR="00ED5147" w:rsidRDefault="003B423D">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2FBD12EC" w14:textId="77777777" w:rsidR="00ED5147" w:rsidRDefault="00ED5147">
      <w:pPr>
        <w:keepNext/>
        <w:ind w:left="420"/>
        <w:jc w:val="both"/>
        <w:rPr>
          <w:rFonts w:ascii="Times New Roman" w:eastAsia="Times New Roman" w:hAnsi="Times New Roman" w:cs="Times New Roman"/>
          <w:sz w:val="22"/>
          <w:szCs w:val="22"/>
        </w:rPr>
      </w:pPr>
    </w:p>
    <w:p w14:paraId="038BC027" w14:textId="77777777" w:rsidR="00ED5147" w:rsidRDefault="003B423D">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23575889" w14:textId="77777777" w:rsidR="00ED5147" w:rsidRDefault="003B423D">
      <w:pP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8EC345E" w14:textId="77777777" w:rsidR="00ED5147" w:rsidRDefault="003B423D">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48A1E79E" w14:textId="77777777" w:rsidR="00ED5147" w:rsidRDefault="003B423D">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63F80B4" w14:textId="77777777" w:rsidR="00ED5147" w:rsidRDefault="003B423D">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D3926DF" w14:textId="77777777" w:rsidR="00ED5147" w:rsidRDefault="003B423D">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24951CAB" w14:textId="77777777" w:rsidR="00ED5147" w:rsidRDefault="003B423D">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077995EE" w14:textId="77777777" w:rsidR="00ED5147" w:rsidRDefault="00ED5147">
      <w:pPr>
        <w:ind w:left="567"/>
        <w:jc w:val="both"/>
        <w:rPr>
          <w:rFonts w:ascii="Times New Roman" w:eastAsia="Times New Roman" w:hAnsi="Times New Roman" w:cs="Times New Roman"/>
          <w:sz w:val="22"/>
          <w:szCs w:val="22"/>
        </w:rPr>
      </w:pPr>
    </w:p>
    <w:p w14:paraId="5E797BB7" w14:textId="77777777" w:rsidR="00ED5147" w:rsidRDefault="003B423D" w:rsidP="00732C32">
      <w:pPr>
        <w:pStyle w:val="Heading1"/>
        <w:numPr>
          <w:ilvl w:val="0"/>
          <w:numId w:val="0"/>
        </w:numPr>
      </w:pPr>
      <w:bookmarkStart w:id="33" w:name="_heading=h.23ckvvd" w:colFirst="0" w:colLast="0"/>
      <w:bookmarkEnd w:id="33"/>
      <w:r>
        <w:t>25.</w:t>
      </w:r>
      <w:r>
        <w:tab/>
      </w:r>
      <w:proofErr w:type="spellStart"/>
      <w:r>
        <w:t>Cancellation</w:t>
      </w:r>
      <w:proofErr w:type="spellEnd"/>
      <w:r>
        <w:t xml:space="preserve"> of the tender </w:t>
      </w:r>
      <w:proofErr w:type="spellStart"/>
      <w:r>
        <w:t>procedure</w:t>
      </w:r>
      <w:proofErr w:type="spellEnd"/>
    </w:p>
    <w:p w14:paraId="758BF46B" w14:textId="77777777" w:rsidR="00ED5147" w:rsidRDefault="003B423D">
      <w:pPr>
        <w:pBdr>
          <w:top w:val="nil"/>
          <w:left w:val="nil"/>
          <w:bottom w:val="nil"/>
          <w:right w:val="nil"/>
          <w:between w:val="nil"/>
        </w:pBdr>
        <w:ind w:left="567"/>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152C9E04" w14:textId="77777777" w:rsidR="00ED5147" w:rsidRDefault="003B423D">
      <w:pPr>
        <w:pBdr>
          <w:top w:val="nil"/>
          <w:left w:val="nil"/>
          <w:bottom w:val="nil"/>
          <w:right w:val="nil"/>
          <w:between w:val="nil"/>
        </w:pBdr>
        <w:spacing w:after="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6BB6BDB7" w14:textId="77777777" w:rsidR="00ED5147" w:rsidRDefault="003B423D">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5C991382" w14:textId="77777777" w:rsidR="00ED5147" w:rsidRDefault="003B423D">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 of the project have changed fundamentally;</w:t>
      </w:r>
    </w:p>
    <w:p w14:paraId="778E5025" w14:textId="77777777" w:rsidR="00ED5147" w:rsidRDefault="003B423D">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29A58731" w14:textId="77777777" w:rsidR="00ED5147" w:rsidRDefault="003B423D">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4E401E12" w14:textId="77777777" w:rsidR="00ED5147" w:rsidRDefault="003B423D">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0CCE6605" w14:textId="77777777" w:rsidR="00ED5147" w:rsidRDefault="003B423D">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52C7A3F" w14:textId="77777777" w:rsidR="00ED5147" w:rsidRDefault="003B423D">
      <w:pPr>
        <w:pBdr>
          <w:top w:val="nil"/>
          <w:left w:val="nil"/>
          <w:bottom w:val="nil"/>
          <w:right w:val="nil"/>
          <w:between w:val="nil"/>
        </w:pBdr>
        <w:tabs>
          <w:tab w:val="left" w:pos="567"/>
        </w:tabs>
        <w:ind w:left="567"/>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765AB812" w14:textId="77777777" w:rsidR="00ED5147" w:rsidRDefault="003B423D" w:rsidP="00732C32">
      <w:pPr>
        <w:pStyle w:val="Heading1"/>
        <w:numPr>
          <w:ilvl w:val="0"/>
          <w:numId w:val="0"/>
        </w:numPr>
      </w:pPr>
      <w:r>
        <w:t xml:space="preserve">26. </w:t>
      </w:r>
      <w:r>
        <w:tab/>
      </w:r>
      <w:proofErr w:type="spellStart"/>
      <w:r>
        <w:t>Appeals</w:t>
      </w:r>
      <w:proofErr w:type="spellEnd"/>
    </w:p>
    <w:p w14:paraId="11548E0B" w14:textId="77777777" w:rsidR="00ED5147" w:rsidRDefault="003B423D">
      <w:pPr>
        <w:pBdr>
          <w:top w:val="nil"/>
          <w:left w:val="nil"/>
          <w:bottom w:val="nil"/>
          <w:right w:val="nil"/>
          <w:between w:val="nil"/>
        </w:pBdr>
        <w:spacing w:before="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73D9E714" w14:textId="77777777" w:rsidR="00ED5147" w:rsidRPr="00732C32" w:rsidRDefault="003B423D">
      <w:pPr>
        <w:keepNext/>
        <w:jc w:val="both"/>
        <w:rPr>
          <w:rFonts w:ascii="Times New Roman" w:eastAsia="Times New Roman" w:hAnsi="Times New Roman" w:cs="Times New Roman"/>
          <w:b/>
          <w:sz w:val="28"/>
          <w:szCs w:val="28"/>
        </w:rPr>
      </w:pPr>
      <w:r w:rsidRPr="00732C32">
        <w:rPr>
          <w:sz w:val="28"/>
          <w:szCs w:val="28"/>
        </w:rPr>
        <w:t xml:space="preserve"> </w:t>
      </w:r>
      <w:r w:rsidRPr="00732C32">
        <w:rPr>
          <w:rFonts w:ascii="Times New Roman" w:eastAsia="Times New Roman" w:hAnsi="Times New Roman" w:cs="Times New Roman"/>
          <w:b/>
          <w:sz w:val="28"/>
          <w:szCs w:val="28"/>
        </w:rPr>
        <w:t>27. Data Protection</w:t>
      </w:r>
    </w:p>
    <w:p w14:paraId="0982D51E" w14:textId="77777777" w:rsidR="00ED5147" w:rsidRDefault="003B423D">
      <w:pPr>
        <w:ind w:left="-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B369445" w14:textId="77777777" w:rsidR="00ED5147" w:rsidRDefault="003B423D" w:rsidP="00732C32">
      <w:pPr>
        <w:pStyle w:val="Heading1"/>
        <w:numPr>
          <w:ilvl w:val="0"/>
          <w:numId w:val="0"/>
        </w:numPr>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77E319FE" w14:textId="77777777" w:rsidR="00ED5147" w:rsidRDefault="003B423D">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ED5147">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9FD4C" w14:textId="77777777" w:rsidR="0083164F" w:rsidRDefault="0083164F">
      <w:pPr>
        <w:spacing w:before="0" w:after="0"/>
      </w:pPr>
      <w:r>
        <w:separator/>
      </w:r>
    </w:p>
  </w:endnote>
  <w:endnote w:type="continuationSeparator" w:id="0">
    <w:p w14:paraId="10D08663" w14:textId="77777777" w:rsidR="0083164F" w:rsidRDefault="008316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D9BBB" w14:textId="77777777" w:rsidR="00ED5147" w:rsidRDefault="003B423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301BFB73" w14:textId="77777777" w:rsidR="00ED5147" w:rsidRDefault="00ED5147">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E1D3C" w14:textId="77777777" w:rsidR="00ED5147" w:rsidRDefault="003B423D">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32C32">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32C32">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4D443A92" w14:textId="77777777" w:rsidR="00ED5147" w:rsidRDefault="003B423D">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FA365" w14:textId="77777777" w:rsidR="00ED5147" w:rsidRDefault="003B423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2EC4FC8" w14:textId="77777777" w:rsidR="00ED5147" w:rsidRDefault="003B423D">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4DED2" w14:textId="77777777" w:rsidR="0083164F" w:rsidRDefault="0083164F">
      <w:pPr>
        <w:spacing w:before="0" w:after="0"/>
      </w:pPr>
      <w:r>
        <w:separator/>
      </w:r>
    </w:p>
  </w:footnote>
  <w:footnote w:type="continuationSeparator" w:id="0">
    <w:p w14:paraId="0B9556D7" w14:textId="77777777" w:rsidR="0083164F" w:rsidRDefault="0083164F">
      <w:pPr>
        <w:spacing w:before="0" w:after="0"/>
      </w:pPr>
      <w:r>
        <w:continuationSeparator/>
      </w:r>
    </w:p>
  </w:footnote>
  <w:footnote w:id="1">
    <w:p w14:paraId="2186B0B4" w14:textId="77777777" w:rsidR="00ED5147" w:rsidRDefault="003B423D">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PRAG Section 2.6.10.1.3 A)</w:t>
      </w:r>
    </w:p>
  </w:footnote>
  <w:footnote w:id="2">
    <w:p w14:paraId="4735BB23" w14:textId="77777777" w:rsidR="00ED5147" w:rsidRDefault="003B423D">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3590E12" w14:textId="77777777" w:rsidR="00ED5147" w:rsidRDefault="003B423D">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84D4C"/>
    <w:multiLevelType w:val="multilevel"/>
    <w:tmpl w:val="4CF2494E"/>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02C6233"/>
    <w:multiLevelType w:val="multilevel"/>
    <w:tmpl w:val="19786CD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 w15:restartNumberingAfterBreak="0">
    <w:nsid w:val="3E656851"/>
    <w:multiLevelType w:val="multilevel"/>
    <w:tmpl w:val="59CAEE6A"/>
    <w:lvl w:ilvl="0">
      <w:start w:val="1"/>
      <w:numFmt w:val="bullet"/>
      <w:pStyle w:val="Heading1"/>
      <w:lvlText w:val="●"/>
      <w:lvlJc w:val="left"/>
      <w:pPr>
        <w:ind w:left="1287" w:hanging="360"/>
      </w:pPr>
      <w:rPr>
        <w:rFonts w:ascii="Noto Sans Symbols" w:eastAsia="Noto Sans Symbols" w:hAnsi="Noto Sans Symbols" w:cs="Noto Sans Symbols"/>
      </w:rPr>
    </w:lvl>
    <w:lvl w:ilvl="1">
      <w:start w:val="3"/>
      <w:numFmt w:val="bullet"/>
      <w:lvlText w:val="-"/>
      <w:lvlJc w:val="left"/>
      <w:pPr>
        <w:ind w:left="2007" w:hanging="360"/>
      </w:pPr>
      <w:rPr>
        <w:rFonts w:ascii="Times New Roman" w:eastAsia="Times New Roman" w:hAnsi="Times New Roman" w:cs="Times New Roman"/>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pStyle w:val="Heading4"/>
      <w:lvlText w:val="●"/>
      <w:lvlJc w:val="left"/>
      <w:pPr>
        <w:ind w:left="3447" w:hanging="360"/>
      </w:pPr>
      <w:rPr>
        <w:rFonts w:ascii="Noto Sans Symbols" w:eastAsia="Noto Sans Symbols" w:hAnsi="Noto Sans Symbols" w:cs="Noto Sans Symbols"/>
      </w:rPr>
    </w:lvl>
    <w:lvl w:ilvl="4">
      <w:start w:val="1"/>
      <w:numFmt w:val="bullet"/>
      <w:pStyle w:val="Heading5"/>
      <w:lvlText w:val="o"/>
      <w:lvlJc w:val="left"/>
      <w:pPr>
        <w:ind w:left="4167" w:hanging="360"/>
      </w:pPr>
      <w:rPr>
        <w:rFonts w:ascii="Courier New" w:eastAsia="Courier New" w:hAnsi="Courier New" w:cs="Courier New"/>
      </w:rPr>
    </w:lvl>
    <w:lvl w:ilvl="5">
      <w:start w:val="1"/>
      <w:numFmt w:val="bullet"/>
      <w:pStyle w:val="Heading6"/>
      <w:lvlText w:val="▪"/>
      <w:lvlJc w:val="left"/>
      <w:pPr>
        <w:ind w:left="4887" w:hanging="360"/>
      </w:pPr>
      <w:rPr>
        <w:rFonts w:ascii="Noto Sans Symbols" w:eastAsia="Noto Sans Symbols" w:hAnsi="Noto Sans Symbols" w:cs="Noto Sans Symbols"/>
      </w:rPr>
    </w:lvl>
    <w:lvl w:ilvl="6">
      <w:start w:val="1"/>
      <w:numFmt w:val="bullet"/>
      <w:pStyle w:val="Heading7"/>
      <w:lvlText w:val="●"/>
      <w:lvlJc w:val="left"/>
      <w:pPr>
        <w:ind w:left="5607" w:hanging="360"/>
      </w:pPr>
      <w:rPr>
        <w:rFonts w:ascii="Noto Sans Symbols" w:eastAsia="Noto Sans Symbols" w:hAnsi="Noto Sans Symbols" w:cs="Noto Sans Symbols"/>
      </w:rPr>
    </w:lvl>
    <w:lvl w:ilvl="7">
      <w:start w:val="1"/>
      <w:numFmt w:val="bullet"/>
      <w:pStyle w:val="Heading8"/>
      <w:lvlText w:val="o"/>
      <w:lvlJc w:val="left"/>
      <w:pPr>
        <w:ind w:left="6327" w:hanging="360"/>
      </w:pPr>
      <w:rPr>
        <w:rFonts w:ascii="Courier New" w:eastAsia="Courier New" w:hAnsi="Courier New" w:cs="Courier New"/>
      </w:rPr>
    </w:lvl>
    <w:lvl w:ilvl="8">
      <w:start w:val="1"/>
      <w:numFmt w:val="bullet"/>
      <w:pStyle w:val="Heading9"/>
      <w:lvlText w:val="▪"/>
      <w:lvlJc w:val="left"/>
      <w:pPr>
        <w:ind w:left="7047" w:hanging="360"/>
      </w:pPr>
      <w:rPr>
        <w:rFonts w:ascii="Noto Sans Symbols" w:eastAsia="Noto Sans Symbols" w:hAnsi="Noto Sans Symbols" w:cs="Noto Sans Symbols"/>
      </w:rPr>
    </w:lvl>
  </w:abstractNum>
  <w:abstractNum w:abstractNumId="3" w15:restartNumberingAfterBreak="0">
    <w:nsid w:val="7D0629D2"/>
    <w:multiLevelType w:val="multilevel"/>
    <w:tmpl w:val="4FC0D4F4"/>
    <w:lvl w:ilvl="0">
      <w:start w:val="1"/>
      <w:numFmt w:val="decimal"/>
      <w:lvlText w:val="%1."/>
      <w:lvlJc w:val="left"/>
      <w:pPr>
        <w:ind w:left="567" w:hanging="567"/>
      </w:pPr>
      <w:rPr>
        <w:rFonts w:ascii="Times" w:eastAsia="Times" w:hAnsi="Times" w:cs="Times"/>
        <w:b/>
        <w:i w:val="0"/>
        <w:sz w:val="28"/>
        <w:szCs w:val="28"/>
      </w:rPr>
    </w:lvl>
    <w:lvl w:ilvl="1">
      <w:start w:val="1"/>
      <w:numFmt w:val="decimal"/>
      <w:lvlText w:val="%1.%2"/>
      <w:lvlJc w:val="left"/>
      <w:pPr>
        <w:ind w:left="567" w:hanging="567"/>
      </w:pPr>
      <w:rPr>
        <w:rFonts w:ascii="Arial" w:eastAsia="Arial" w:hAnsi="Arial" w:cs="Arial"/>
        <w:b w:val="0"/>
        <w:i w:val="0"/>
        <w:sz w:val="20"/>
        <w:szCs w:val="20"/>
      </w:rPr>
    </w:lvl>
    <w:lvl w:ilvl="2">
      <w:start w:val="1"/>
      <w:numFmt w:val="lowerLetter"/>
      <w:lvlText w:val="%3)"/>
      <w:lvlJc w:val="left"/>
      <w:pPr>
        <w:ind w:left="1134" w:hanging="567"/>
      </w:pPr>
      <w:rPr>
        <w:rFonts w:ascii="Arial" w:eastAsia="Arial" w:hAnsi="Arial" w:cs="Arial"/>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
      <w:lvlJc w:val="left"/>
      <w:pPr>
        <w:ind w:left="0" w:firstLine="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147"/>
    <w:rsid w:val="003B423D"/>
    <w:rsid w:val="00732C32"/>
    <w:rsid w:val="0083164F"/>
    <w:rsid w:val="00857421"/>
    <w:rsid w:val="00B01ACE"/>
    <w:rsid w:val="00CB361D"/>
    <w:rsid w:val="00ED5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D72E3"/>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95F"/>
    <w:rPr>
      <w:snapToGrid w:val="0"/>
    </w:rPr>
  </w:style>
  <w:style w:type="paragraph" w:styleId="Heading1">
    <w:name w:val="heading 1"/>
    <w:basedOn w:val="Normal"/>
    <w:next w:val="Normal"/>
    <w:link w:val="Heading1Char1"/>
    <w:uiPriority w:val="9"/>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iPriority w:val="9"/>
    <w:semiHidden/>
    <w:unhideWhenUsed/>
    <w:qFormat/>
    <w:pPr>
      <w:keepNext/>
      <w:numPr>
        <w:ilvl w:val="3"/>
        <w:numId w:val="2"/>
      </w:numPr>
      <w:spacing w:before="240" w:after="60"/>
      <w:outlineLvl w:val="3"/>
    </w:pPr>
    <w:rPr>
      <w:b/>
      <w:sz w:val="24"/>
    </w:rPr>
  </w:style>
  <w:style w:type="paragraph" w:styleId="Heading5">
    <w:name w:val="heading 5"/>
    <w:basedOn w:val="Normal"/>
    <w:next w:val="Normal"/>
    <w:link w:val="Heading5Char"/>
    <w:uiPriority w:val="9"/>
    <w:semiHidden/>
    <w:unhideWhenUsed/>
    <w:qFormat/>
    <w:pPr>
      <w:numPr>
        <w:ilvl w:val="4"/>
        <w:numId w:val="2"/>
      </w:numPr>
      <w:spacing w:before="240" w:after="60"/>
      <w:outlineLvl w:val="4"/>
    </w:pPr>
    <w:rPr>
      <w:sz w:val="22"/>
    </w:rPr>
  </w:style>
  <w:style w:type="paragraph" w:styleId="Heading6">
    <w:name w:val="heading 6"/>
    <w:basedOn w:val="Normal"/>
    <w:next w:val="Normal"/>
    <w:link w:val="Heading6Char"/>
    <w:uiPriority w:val="9"/>
    <w:semiHidden/>
    <w:unhideWhenUsed/>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tabs>
        <w:tab w:val="num" w:pos="720"/>
      </w:tabs>
      <w:spacing w:before="100" w:after="100"/>
      <w:ind w:left="720" w:hanging="72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tabs>
        <w:tab w:val="num" w:pos="720"/>
      </w:tabs>
      <w:spacing w:before="0" w:after="0"/>
      <w:ind w:left="720" w:hanging="720"/>
      <w:jc w:val="both"/>
    </w:pPr>
    <w:rPr>
      <w:rFonts w:ascii="Times New Roman" w:hAnsi="Times New Roman"/>
      <w:snapToGrid/>
      <w:sz w:val="24"/>
      <w:szCs w:val="24"/>
      <w:lang w:eastAsia="en-GB"/>
    </w:rPr>
  </w:style>
  <w:style w:type="character" w:customStyle="1" w:styleId="NumberedChar">
    <w:name w:val="Numbered Char"/>
    <w:link w:val="Numbered"/>
    <w:rsid w:val="006E1DB1"/>
    <w:rPr>
      <w:rFonts w:ascii="Times New Roman" w:hAnsi="Times New Roman"/>
      <w:sz w:val="24"/>
      <w:szCs w:val="24"/>
      <w:lang w:eastAsia="en-GB"/>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snapToGrid w:val="0"/>
    </w:rPr>
  </w:style>
  <w:style w:type="character" w:customStyle="1" w:styleId="UnresolvedMention1">
    <w:name w:val="Unresolved Mention1"/>
    <w:uiPriority w:val="99"/>
    <w:semiHidden/>
    <w:unhideWhenUsed/>
    <w:rsid w:val="007354CF"/>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1-blue-growth-computers-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KBYbJ8B+iAnY+gN0LlxCi1UG8g==">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5745</Words>
  <Characters>32749</Characters>
  <Application>Microsoft Office Word</Application>
  <DocSecurity>0</DocSecurity>
  <Lines>272</Lines>
  <Paragraphs>76</Paragraphs>
  <ScaleCrop>false</ScaleCrop>
  <Company/>
  <LinksUpToDate>false</LinksUpToDate>
  <CharactersWithSpaces>38418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3</cp:revision>
  <dcterms:created xsi:type="dcterms:W3CDTF">2021-09-16T19:03:00Z</dcterms:created>
  <dcterms:modified xsi:type="dcterms:W3CDTF">2021-09-20T11:46:00Z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