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E82463" w:rsidRDefault="0047783A" w:rsidP="003051AA">
      <w:pPr>
        <w:pStyle w:val="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E82463" w:rsidRDefault="0047783A" w:rsidP="008A036D">
      <w:pPr>
        <w:pStyle w:val="a5"/>
        <w:spacing w:after="240"/>
        <w:rPr>
          <w:rFonts w:ascii="Times New Roman" w:hAnsi="Times New Roman"/>
          <w:szCs w:val="28"/>
          <w:lang w:val="en-GB"/>
        </w:rPr>
      </w:pPr>
      <w:r w:rsidRPr="00E82463">
        <w:rPr>
          <w:rFonts w:ascii="Times New Roman" w:hAnsi="Times New Roman"/>
          <w:szCs w:val="28"/>
          <w:lang w:val="en-GB"/>
        </w:rPr>
        <w:t xml:space="preserve">PUBLICATION REF.: </w:t>
      </w:r>
      <w:r w:rsidR="00CE050B">
        <w:rPr>
          <w:rFonts w:ascii="Times New Roman" w:hAnsi="Times New Roman"/>
          <w:szCs w:val="28"/>
          <w:lang w:val="en-GB"/>
        </w:rPr>
        <w:t>035-</w:t>
      </w:r>
      <w:r w:rsidR="00CE050B" w:rsidRPr="0052265F">
        <w:rPr>
          <w:rFonts w:ascii="Times New Roman" w:hAnsi="Times New Roman"/>
          <w:szCs w:val="28"/>
          <w:lang w:val="en-GB"/>
        </w:rPr>
        <w:t>SUPPLY</w:t>
      </w:r>
      <w:r w:rsidR="00CE050B" w:rsidRPr="00CE050B">
        <w:rPr>
          <w:rFonts w:ascii="Times New Roman" w:hAnsi="Times New Roman"/>
          <w:szCs w:val="28"/>
          <w:lang w:val="en-GB"/>
        </w:rPr>
        <w:t xml:space="preserve"> </w:t>
      </w:r>
      <w:r w:rsidR="00CE050B">
        <w:rPr>
          <w:rFonts w:ascii="Times New Roman" w:hAnsi="Times New Roman"/>
          <w:szCs w:val="28"/>
          <w:lang w:val="en-GB"/>
        </w:rPr>
        <w:t>-Suloglu</w:t>
      </w:r>
      <w:r w:rsidR="0052265F" w:rsidRPr="0052265F">
        <w:rPr>
          <w:rFonts w:ascii="Times New Roman" w:hAnsi="Times New Roman"/>
          <w:szCs w:val="28"/>
          <w:lang w:val="en-GB"/>
        </w:rPr>
        <w:t>-</w:t>
      </w:r>
      <w:r w:rsidR="00CE050B">
        <w:rPr>
          <w:rFonts w:ascii="Times New Roman" w:hAnsi="Times New Roman"/>
          <w:szCs w:val="28"/>
          <w:lang w:val="en-GB"/>
        </w:rPr>
        <w:t>0</w:t>
      </w:r>
      <w:r w:rsidR="008A036D">
        <w:rPr>
          <w:rFonts w:ascii="Times New Roman" w:hAnsi="Times New Roman"/>
          <w:szCs w:val="28"/>
          <w:lang w:val="en-GB"/>
        </w:rPr>
        <w:t>5</w:t>
      </w:r>
    </w:p>
    <w:p w:rsidR="0047783A" w:rsidRPr="00E82463" w:rsidRDefault="00121DE4">
      <w:pPr>
        <w:pStyle w:val="a5"/>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a5"/>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af0"/>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1"/>
      </w:pPr>
      <w:bookmarkStart w:id="1" w:name="_Toc42488070"/>
      <w:r w:rsidRPr="00E82463">
        <w:t>Supplies to be provided</w:t>
      </w:r>
      <w:bookmarkEnd w:id="1"/>
    </w:p>
    <w:p w:rsidR="0047783A" w:rsidRPr="00E82463" w:rsidRDefault="0047783A" w:rsidP="00E82463">
      <w:pPr>
        <w:pStyle w:val="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8A036D">
        <w:rPr>
          <w:rFonts w:ascii="Times New Roman" w:hAnsi="Times New Roman"/>
          <w:sz w:val="22"/>
          <w:lang w:val="en-GB"/>
        </w:rPr>
        <w:t xml:space="preserve">, </w:t>
      </w:r>
      <w:r w:rsidRPr="0052265F">
        <w:rPr>
          <w:rFonts w:ascii="Times New Roman" w:hAnsi="Times New Roman"/>
          <w:sz w:val="22"/>
          <w:lang w:val="en-GB"/>
        </w:rPr>
        <w:t>delivery</w:t>
      </w:r>
      <w:r w:rsidR="008A036D">
        <w:rPr>
          <w:rFonts w:ascii="Times New Roman" w:hAnsi="Times New Roman"/>
          <w:sz w:val="22"/>
          <w:lang w:val="en-GB"/>
        </w:rPr>
        <w:t>,</w:t>
      </w:r>
      <w:r w:rsidR="0052265F" w:rsidRPr="0052265F">
        <w:rPr>
          <w:rFonts w:ascii="Times New Roman" w:hAnsi="Times New Roman"/>
          <w:sz w:val="22"/>
          <w:lang w:val="en-GB"/>
        </w:rPr>
        <w:t xml:space="preserve"> </w:t>
      </w:r>
      <w:r w:rsidRPr="0052265F">
        <w:rPr>
          <w:rFonts w:ascii="Times New Roman" w:hAnsi="Times New Roman"/>
          <w:sz w:val="22"/>
          <w:lang w:val="en-GB"/>
        </w:rPr>
        <w:t>unloading</w:t>
      </w:r>
      <w:r w:rsidR="008A036D">
        <w:rPr>
          <w:rFonts w:ascii="Times New Roman" w:hAnsi="Times New Roman"/>
          <w:sz w:val="22"/>
          <w:lang w:val="en-GB"/>
        </w:rPr>
        <w:t xml:space="preserve"> and installation</w:t>
      </w:r>
      <w:r w:rsidR="0052265F">
        <w:rPr>
          <w:rFonts w:ascii="Times New Roman" w:hAnsi="Times New Roman"/>
          <w:sz w:val="22"/>
          <w:lang w:val="en-GB"/>
        </w:rPr>
        <w:t xml:space="preserve"> </w:t>
      </w:r>
      <w:r w:rsidRPr="00E82463">
        <w:rPr>
          <w:rFonts w:ascii="Times New Roman" w:hAnsi="Times New Roman"/>
          <w:sz w:val="22"/>
          <w:lang w:val="en-GB"/>
        </w:rPr>
        <w:t xml:space="preserve">by the </w:t>
      </w:r>
      <w:r w:rsidR="00A8413B">
        <w:rPr>
          <w:rFonts w:ascii="Times New Roman" w:hAnsi="Times New Roman"/>
          <w:sz w:val="22"/>
          <w:lang w:val="en-GB"/>
        </w:rPr>
        <w:t>c</w:t>
      </w:r>
      <w:r w:rsidRPr="00E82463">
        <w:rPr>
          <w:rFonts w:ascii="Times New Roman" w:hAnsi="Times New Roman"/>
          <w:sz w:val="22"/>
          <w:lang w:val="en-GB"/>
        </w:rPr>
        <w:t>ontractor of the following goods:</w:t>
      </w:r>
    </w:p>
    <w:p w:rsidR="008A036D" w:rsidRPr="008A036D" w:rsidRDefault="008A036D" w:rsidP="008A036D">
      <w:pPr>
        <w:widowControl w:val="0"/>
        <w:numPr>
          <w:ilvl w:val="0"/>
          <w:numId w:val="27"/>
        </w:numPr>
        <w:spacing w:before="100" w:after="100"/>
        <w:contextualSpacing/>
        <w:rPr>
          <w:rFonts w:ascii="Times New Roman" w:hAnsi="Times New Roman"/>
          <w:sz w:val="22"/>
          <w:szCs w:val="22"/>
          <w:lang w:val="en-US"/>
        </w:rPr>
      </w:pPr>
      <w:r w:rsidRPr="008A036D">
        <w:rPr>
          <w:rFonts w:ascii="Times New Roman" w:hAnsi="Times New Roman"/>
          <w:sz w:val="22"/>
          <w:szCs w:val="22"/>
          <w:lang w:val="en-US"/>
        </w:rPr>
        <w:t>Fixed satellite phone unit – 11 pieces</w:t>
      </w:r>
    </w:p>
    <w:p w:rsidR="008A036D" w:rsidRPr="008A036D" w:rsidRDefault="008A036D" w:rsidP="008A036D">
      <w:pPr>
        <w:widowControl w:val="0"/>
        <w:numPr>
          <w:ilvl w:val="0"/>
          <w:numId w:val="27"/>
        </w:numPr>
        <w:spacing w:before="100" w:after="100"/>
        <w:contextualSpacing/>
        <w:rPr>
          <w:rFonts w:ascii="Times New Roman" w:hAnsi="Times New Roman"/>
          <w:sz w:val="22"/>
          <w:szCs w:val="22"/>
          <w:lang w:val="en-US"/>
        </w:rPr>
      </w:pPr>
      <w:r w:rsidRPr="008A036D">
        <w:rPr>
          <w:rFonts w:ascii="Times New Roman" w:hAnsi="Times New Roman"/>
          <w:sz w:val="22"/>
          <w:szCs w:val="22"/>
          <w:lang w:val="en-US"/>
        </w:rPr>
        <w:t xml:space="preserve">Rack mountable UPS – 11 pieces </w:t>
      </w:r>
    </w:p>
    <w:p w:rsidR="008A036D" w:rsidRPr="008A036D" w:rsidRDefault="008A036D" w:rsidP="008A036D">
      <w:pPr>
        <w:widowControl w:val="0"/>
        <w:numPr>
          <w:ilvl w:val="0"/>
          <w:numId w:val="27"/>
        </w:numPr>
        <w:spacing w:before="100" w:after="100"/>
        <w:contextualSpacing/>
        <w:rPr>
          <w:rFonts w:ascii="Times New Roman" w:hAnsi="Times New Roman"/>
          <w:sz w:val="22"/>
          <w:szCs w:val="22"/>
          <w:lang w:val="en-US"/>
        </w:rPr>
      </w:pPr>
      <w:r w:rsidRPr="008A036D">
        <w:rPr>
          <w:rFonts w:ascii="Times New Roman" w:hAnsi="Times New Roman"/>
          <w:sz w:val="22"/>
          <w:szCs w:val="22"/>
          <w:lang w:val="en-US"/>
        </w:rPr>
        <w:t>9U Wall-type cabinet – 11 pieces</w:t>
      </w:r>
    </w:p>
    <w:p w:rsidR="008A036D" w:rsidRPr="008A036D" w:rsidRDefault="008A036D" w:rsidP="008A036D">
      <w:pPr>
        <w:pStyle w:val="Blockquote"/>
        <w:spacing w:before="0" w:after="0"/>
        <w:ind w:left="720" w:right="357"/>
        <w:contextualSpacing/>
        <w:jc w:val="both"/>
        <w:rPr>
          <w:rFonts w:ascii="Times New Roman" w:hAnsi="Times New Roman"/>
          <w:sz w:val="22"/>
          <w:szCs w:val="22"/>
        </w:rPr>
      </w:pPr>
      <w:r>
        <w:rPr>
          <w:rFonts w:ascii="Times New Roman" w:hAnsi="Times New Roman"/>
          <w:sz w:val="22"/>
        </w:rPr>
        <w:t xml:space="preserve">And the </w:t>
      </w:r>
      <w:r w:rsidRPr="008A036D">
        <w:rPr>
          <w:rFonts w:ascii="Times New Roman" w:hAnsi="Times New Roman"/>
          <w:sz w:val="22"/>
          <w:szCs w:val="22"/>
        </w:rPr>
        <w:t xml:space="preserve">provision of </w:t>
      </w:r>
      <w:r>
        <w:rPr>
          <w:rFonts w:ascii="Times New Roman" w:hAnsi="Times New Roman"/>
          <w:sz w:val="22"/>
          <w:szCs w:val="22"/>
        </w:rPr>
        <w:t xml:space="preserve">the following </w:t>
      </w:r>
      <w:r w:rsidRPr="008A036D">
        <w:rPr>
          <w:rFonts w:ascii="Times New Roman" w:hAnsi="Times New Roman"/>
          <w:sz w:val="22"/>
          <w:szCs w:val="22"/>
        </w:rPr>
        <w:t>ancillary services that will ensure the exploitation of the alarm system:</w:t>
      </w:r>
    </w:p>
    <w:p w:rsidR="008A036D" w:rsidRPr="008A036D" w:rsidRDefault="008A036D" w:rsidP="008A036D">
      <w:pPr>
        <w:widowControl w:val="0"/>
        <w:numPr>
          <w:ilvl w:val="0"/>
          <w:numId w:val="29"/>
        </w:numPr>
        <w:spacing w:before="0" w:after="0"/>
        <w:ind w:right="357"/>
        <w:contextualSpacing/>
        <w:jc w:val="both"/>
        <w:rPr>
          <w:rFonts w:ascii="Times New Roman" w:hAnsi="Times New Roman"/>
          <w:sz w:val="22"/>
          <w:szCs w:val="22"/>
          <w:lang w:val="en-US"/>
        </w:rPr>
      </w:pPr>
      <w:bookmarkStart w:id="2" w:name="_Hlk30946859"/>
      <w:r w:rsidRPr="008A036D">
        <w:rPr>
          <w:rFonts w:ascii="Times New Roman" w:hAnsi="Times New Roman"/>
          <w:sz w:val="22"/>
          <w:szCs w:val="22"/>
          <w:lang w:val="en-US"/>
        </w:rPr>
        <w:t>Activation fee for 11 users</w:t>
      </w:r>
    </w:p>
    <w:p w:rsidR="008A036D" w:rsidRPr="008A036D" w:rsidRDefault="008A036D" w:rsidP="008A036D">
      <w:pPr>
        <w:widowControl w:val="0"/>
        <w:numPr>
          <w:ilvl w:val="0"/>
          <w:numId w:val="29"/>
        </w:numPr>
        <w:spacing w:before="0" w:after="0"/>
        <w:ind w:right="357"/>
        <w:contextualSpacing/>
        <w:jc w:val="both"/>
        <w:rPr>
          <w:rFonts w:ascii="Times New Roman" w:hAnsi="Times New Roman"/>
          <w:sz w:val="22"/>
          <w:szCs w:val="22"/>
          <w:lang w:val="en-US"/>
        </w:rPr>
      </w:pPr>
      <w:r w:rsidRPr="008A036D">
        <w:rPr>
          <w:rFonts w:ascii="Times New Roman" w:hAnsi="Times New Roman"/>
          <w:sz w:val="22"/>
          <w:szCs w:val="22"/>
          <w:lang w:val="en-US"/>
        </w:rPr>
        <w:t>Plan for 1 year for 11 users</w:t>
      </w:r>
    </w:p>
    <w:p w:rsidR="008A036D" w:rsidRPr="008A036D" w:rsidRDefault="008A036D" w:rsidP="008A036D">
      <w:pPr>
        <w:widowControl w:val="0"/>
        <w:numPr>
          <w:ilvl w:val="0"/>
          <w:numId w:val="29"/>
        </w:numPr>
        <w:spacing w:before="0" w:after="0"/>
        <w:ind w:right="357"/>
        <w:contextualSpacing/>
        <w:jc w:val="both"/>
        <w:rPr>
          <w:rFonts w:ascii="Times New Roman" w:hAnsi="Times New Roman"/>
          <w:sz w:val="22"/>
          <w:szCs w:val="22"/>
          <w:lang w:val="en-US"/>
        </w:rPr>
      </w:pPr>
      <w:r w:rsidRPr="008A036D">
        <w:rPr>
          <w:rFonts w:ascii="Times New Roman" w:hAnsi="Times New Roman"/>
          <w:sz w:val="22"/>
          <w:szCs w:val="22"/>
          <w:lang w:val="en-US"/>
        </w:rPr>
        <w:t>ICTA (Information and Communications Technology Authority) taxes for 1 year for 11 users</w:t>
      </w:r>
    </w:p>
    <w:bookmarkEnd w:id="2"/>
    <w:p w:rsidR="0047783A" w:rsidRPr="008A036D" w:rsidRDefault="001225D3" w:rsidP="0052265F">
      <w:pPr>
        <w:ind w:left="567"/>
        <w:jc w:val="both"/>
        <w:rPr>
          <w:rFonts w:ascii="Times New Roman" w:hAnsi="Times New Roman"/>
          <w:color w:val="FF0000"/>
          <w:sz w:val="22"/>
        </w:rPr>
      </w:pPr>
      <w:r>
        <w:rPr>
          <w:rFonts w:ascii="Times New Roman" w:hAnsi="Times New Roman"/>
          <w:sz w:val="22"/>
        </w:rPr>
        <w:t>at</w:t>
      </w:r>
      <w:r w:rsidRPr="001225D3">
        <w:rPr>
          <w:rFonts w:ascii="Times New Roman" w:hAnsi="Times New Roman"/>
          <w:sz w:val="22"/>
        </w:rPr>
        <w:t xml:space="preserve"> the</w:t>
      </w:r>
      <w:r>
        <w:rPr>
          <w:rFonts w:ascii="Times New Roman" w:hAnsi="Times New Roman"/>
          <w:sz w:val="22"/>
        </w:rPr>
        <w:t xml:space="preserve"> premises of the </w:t>
      </w:r>
      <w:r w:rsidR="008A036D">
        <w:rPr>
          <w:rFonts w:ascii="Times New Roman" w:hAnsi="Times New Roman"/>
          <w:sz w:val="22"/>
        </w:rPr>
        <w:t xml:space="preserve">Disaster Management Centre in </w:t>
      </w:r>
      <w:proofErr w:type="spellStart"/>
      <w:r w:rsidR="008A036D">
        <w:rPr>
          <w:rFonts w:ascii="Times New Roman" w:hAnsi="Times New Roman"/>
          <w:sz w:val="22"/>
        </w:rPr>
        <w:t>Suloglu</w:t>
      </w:r>
      <w:proofErr w:type="spellEnd"/>
      <w:r w:rsidR="008A036D">
        <w:rPr>
          <w:rFonts w:ascii="Times New Roman" w:hAnsi="Times New Roman"/>
          <w:sz w:val="22"/>
        </w:rPr>
        <w:t>, Turkey</w:t>
      </w:r>
      <w:r w:rsidR="00CF63C2" w:rsidRPr="00E82463">
        <w:rPr>
          <w:rFonts w:ascii="Times New Roman" w:hAnsi="Times New Roman"/>
          <w:sz w:val="22"/>
        </w:rPr>
        <w:t xml:space="preserve"> </w:t>
      </w:r>
      <w:r w:rsidR="0047783A" w:rsidRPr="004B137D">
        <w:rPr>
          <w:rFonts w:ascii="Times New Roman" w:hAnsi="Times New Roman"/>
          <w:sz w:val="22"/>
        </w:rPr>
        <w:t>and</w:t>
      </w:r>
      <w:r w:rsidRPr="004B137D">
        <w:rPr>
          <w:rFonts w:ascii="Times New Roman" w:hAnsi="Times New Roman"/>
          <w:sz w:val="22"/>
        </w:rPr>
        <w:t xml:space="preserve"> </w:t>
      </w:r>
      <w:r w:rsidR="00A91DAD">
        <w:rPr>
          <w:rFonts w:ascii="Times New Roman" w:hAnsi="Times New Roman"/>
          <w:sz w:val="22"/>
        </w:rPr>
        <w:t>for implementation period of 4 month</w:t>
      </w:r>
      <w:r w:rsidR="00A91DAD" w:rsidRPr="00A91DAD">
        <w:rPr>
          <w:rFonts w:ascii="Times New Roman" w:hAnsi="Times New Roman"/>
          <w:sz w:val="22"/>
        </w:rPr>
        <w:t>s</w:t>
      </w:r>
      <w:r w:rsidR="0047783A" w:rsidRPr="00A91DAD">
        <w:rPr>
          <w:rFonts w:ascii="Times New Roman" w:hAnsi="Times New Roman"/>
          <w:sz w:val="22"/>
        </w:rPr>
        <w:t>.</w:t>
      </w:r>
    </w:p>
    <w:p w:rsidR="0047783A" w:rsidRPr="00E82463" w:rsidRDefault="00E82463" w:rsidP="00E82463">
      <w:pPr>
        <w:pStyle w:val="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1225D3">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w:t>
      </w:r>
      <w:bookmarkStart w:id="5" w:name="_GoBack"/>
      <w:bookmarkEnd w:id="5"/>
      <w:r w:rsidRPr="00FC6A15">
        <w:rPr>
          <w:rFonts w:ascii="Times New Roman" w:hAnsi="Times New Roman"/>
          <w:sz w:val="22"/>
          <w:lang w:val="en-GB"/>
        </w:rPr>
        <w:t>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1"/>
      </w:pPr>
      <w:bookmarkStart w:id="6" w:name="_Toc42488071"/>
      <w:r w:rsidRPr="00E82463">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7783A" w:rsidRPr="001225D3" w:rsidRDefault="0047783A" w:rsidP="00A4424B">
            <w:pPr>
              <w:jc w:val="center"/>
              <w:rPr>
                <w:rFonts w:ascii="Times New Roman" w:hAnsi="Times New Roman"/>
                <w:sz w:val="22"/>
              </w:rPr>
            </w:pPr>
            <w:r w:rsidRPr="001225D3">
              <w:rPr>
                <w:rFonts w:ascii="Times New Roman" w:hAnsi="Times New Roman"/>
                <w:sz w:val="22"/>
              </w:rPr>
              <w:t>Not applicable</w:t>
            </w:r>
          </w:p>
        </w:tc>
        <w:tc>
          <w:tcPr>
            <w:tcW w:w="2268" w:type="dxa"/>
          </w:tcPr>
          <w:p w:rsidR="0047783A" w:rsidRPr="001225D3" w:rsidRDefault="00DA4D57" w:rsidP="00A4424B">
            <w:pPr>
              <w:jc w:val="center"/>
              <w:rPr>
                <w:rFonts w:ascii="Times New Roman" w:hAnsi="Times New Roman"/>
                <w:sz w:val="22"/>
              </w:rPr>
            </w:pPr>
            <w:r w:rsidRPr="001225D3">
              <w:rPr>
                <w:rFonts w:ascii="Times New Roman" w:hAnsi="Times New Roman"/>
                <w:sz w:val="22"/>
              </w:rPr>
              <w:t>Not applicable</w:t>
            </w:r>
          </w:p>
        </w:tc>
      </w:tr>
      <w:tr w:rsidR="0047783A" w:rsidRPr="00E82463" w:rsidTr="00A4424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lastRenderedPageBreak/>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8A036D" w:rsidP="0047783A">
            <w:pPr>
              <w:rPr>
                <w:rFonts w:ascii="Times New Roman" w:hAnsi="Times New Roman"/>
                <w:sz w:val="22"/>
              </w:rPr>
            </w:pPr>
            <w:r>
              <w:rPr>
                <w:rFonts w:ascii="Times New Roman" w:hAnsi="Times New Roman"/>
                <w:sz w:val="22"/>
              </w:rPr>
              <w:t>1</w:t>
            </w:r>
            <w:r w:rsidR="003F02F2">
              <w:rPr>
                <w:rFonts w:ascii="Times New Roman" w:hAnsi="Times New Roman"/>
                <w:sz w:val="22"/>
              </w:rPr>
              <w:t>4</w:t>
            </w:r>
            <w:r w:rsidR="006A48EA">
              <w:rPr>
                <w:rFonts w:ascii="Times New Roman" w:hAnsi="Times New Roman"/>
                <w:sz w:val="22"/>
              </w:rPr>
              <w:t>.0</w:t>
            </w:r>
            <w:r>
              <w:rPr>
                <w:rFonts w:ascii="Times New Roman" w:hAnsi="Times New Roman"/>
                <w:sz w:val="22"/>
              </w:rPr>
              <w:t>2</w:t>
            </w:r>
            <w:r w:rsidR="006A48EA">
              <w:rPr>
                <w:rFonts w:ascii="Times New Roman" w:hAnsi="Times New Roman"/>
                <w:sz w:val="22"/>
              </w:rPr>
              <w:t>.2020</w:t>
            </w:r>
          </w:p>
        </w:tc>
        <w:tc>
          <w:tcPr>
            <w:tcW w:w="2268" w:type="dxa"/>
          </w:tcPr>
          <w:p w:rsidR="0047783A" w:rsidRPr="00E82463" w:rsidRDefault="006A48EA" w:rsidP="006A48EA">
            <w:pPr>
              <w:jc w:val="center"/>
              <w:rPr>
                <w:rFonts w:ascii="Times New Roman" w:hAnsi="Times New Roman"/>
                <w:sz w:val="22"/>
              </w:rPr>
            </w:pPr>
            <w:r>
              <w:rPr>
                <w:rFonts w:ascii="Times New Roman" w:hAnsi="Times New Roman"/>
                <w:sz w:val="22"/>
              </w:rPr>
              <w:t>17.00 h</w:t>
            </w:r>
            <w:r w:rsidR="002E11E3" w:rsidRPr="00E82463">
              <w:rPr>
                <w:rFonts w:ascii="Times New Roman" w:hAnsi="Times New Roman"/>
                <w:b/>
              </w:rPr>
              <w:t>*</w:t>
            </w:r>
          </w:p>
        </w:tc>
      </w:tr>
      <w:tr w:rsidR="0047783A" w:rsidRPr="00E82463" w:rsidTr="00A4424B">
        <w:tc>
          <w:tcPr>
            <w:tcW w:w="3969" w:type="dxa"/>
            <w:shd w:val="pct10" w:color="auto" w:fill="FFFFFF"/>
          </w:tcPr>
          <w:p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3F02F2" w:rsidP="006A48EA">
            <w:pPr>
              <w:rPr>
                <w:rFonts w:ascii="Times New Roman" w:hAnsi="Times New Roman"/>
                <w:sz w:val="22"/>
              </w:rPr>
            </w:pPr>
            <w:r>
              <w:rPr>
                <w:rFonts w:ascii="Times New Roman" w:hAnsi="Times New Roman"/>
                <w:sz w:val="22"/>
              </w:rPr>
              <w:t>24</w:t>
            </w:r>
            <w:r w:rsidR="00B13A59">
              <w:rPr>
                <w:rFonts w:ascii="Times New Roman" w:hAnsi="Times New Roman"/>
                <w:sz w:val="22"/>
              </w:rPr>
              <w:t>.0</w:t>
            </w:r>
            <w:r w:rsidR="008A036D">
              <w:rPr>
                <w:rFonts w:ascii="Times New Roman" w:hAnsi="Times New Roman"/>
                <w:sz w:val="22"/>
              </w:rPr>
              <w:t>2</w:t>
            </w:r>
            <w:r w:rsidR="00B13A59">
              <w:rPr>
                <w:rFonts w:ascii="Times New Roman" w:hAnsi="Times New Roman"/>
                <w:sz w:val="22"/>
              </w:rPr>
              <w:t>.2020</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7783A" w:rsidRPr="00E82463" w:rsidRDefault="008A036D" w:rsidP="0047783A">
            <w:pPr>
              <w:rPr>
                <w:rFonts w:ascii="Times New Roman" w:hAnsi="Times New Roman"/>
                <w:sz w:val="22"/>
              </w:rPr>
            </w:pPr>
            <w:r>
              <w:rPr>
                <w:rFonts w:ascii="Times New Roman" w:hAnsi="Times New Roman"/>
                <w:sz w:val="22"/>
              </w:rPr>
              <w:t>0</w:t>
            </w:r>
            <w:r w:rsidR="003F02F2">
              <w:rPr>
                <w:rFonts w:ascii="Times New Roman" w:hAnsi="Times New Roman"/>
                <w:sz w:val="22"/>
              </w:rPr>
              <w:t>6</w:t>
            </w:r>
            <w:r w:rsidR="00B13A59">
              <w:rPr>
                <w:rFonts w:ascii="Times New Roman" w:hAnsi="Times New Roman"/>
                <w:sz w:val="22"/>
              </w:rPr>
              <w:t>.0</w:t>
            </w:r>
            <w:r>
              <w:rPr>
                <w:rFonts w:ascii="Times New Roman" w:hAnsi="Times New Roman"/>
                <w:sz w:val="22"/>
              </w:rPr>
              <w:t>3</w:t>
            </w:r>
            <w:r w:rsidR="00B13A59">
              <w:rPr>
                <w:rFonts w:ascii="Times New Roman" w:hAnsi="Times New Roman"/>
                <w:sz w:val="22"/>
              </w:rPr>
              <w:t>.2020</w:t>
            </w:r>
          </w:p>
        </w:tc>
        <w:tc>
          <w:tcPr>
            <w:tcW w:w="2268" w:type="dxa"/>
          </w:tcPr>
          <w:p w:rsidR="0047783A" w:rsidRPr="00E82463" w:rsidRDefault="006A48EA" w:rsidP="00A4424B">
            <w:pPr>
              <w:jc w:val="center"/>
              <w:rPr>
                <w:rFonts w:ascii="Times New Roman" w:hAnsi="Times New Roman"/>
                <w:sz w:val="22"/>
              </w:rPr>
            </w:pPr>
            <w:r>
              <w:rPr>
                <w:rFonts w:ascii="Times New Roman" w:hAnsi="Times New Roman"/>
                <w:sz w:val="22"/>
              </w:rPr>
              <w:t>17.00 h</w:t>
            </w:r>
            <w:r w:rsidR="002E11E3" w:rsidRPr="00E82463">
              <w:rPr>
                <w:rFonts w:ascii="Times New Roman" w:hAnsi="Times New Roman"/>
                <w:b/>
              </w:rPr>
              <w: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7783A" w:rsidRPr="00E82463" w:rsidRDefault="003F02F2" w:rsidP="006A48EA">
            <w:pPr>
              <w:rPr>
                <w:rFonts w:ascii="Times New Roman" w:hAnsi="Times New Roman"/>
                <w:sz w:val="22"/>
              </w:rPr>
            </w:pPr>
            <w:r>
              <w:rPr>
                <w:rFonts w:ascii="Times New Roman" w:hAnsi="Times New Roman"/>
                <w:sz w:val="22"/>
              </w:rPr>
              <w:t>13</w:t>
            </w:r>
            <w:r w:rsidR="006A48EA">
              <w:rPr>
                <w:rFonts w:ascii="Times New Roman" w:hAnsi="Times New Roman"/>
                <w:sz w:val="22"/>
              </w:rPr>
              <w:t>.0</w:t>
            </w:r>
            <w:r w:rsidR="008A036D">
              <w:rPr>
                <w:rFonts w:ascii="Times New Roman" w:hAnsi="Times New Roman"/>
                <w:sz w:val="22"/>
              </w:rPr>
              <w:t>3</w:t>
            </w:r>
            <w:r w:rsidR="006A48EA">
              <w:rPr>
                <w:rFonts w:ascii="Times New Roman" w:hAnsi="Times New Roman"/>
                <w:sz w:val="22"/>
              </w:rPr>
              <w:t>.2020</w:t>
            </w:r>
            <w:r w:rsidR="006A48EA">
              <w:rPr>
                <w:rFonts w:ascii="Times New Roman" w:hAnsi="Times New Roman"/>
                <w:b/>
              </w:rPr>
              <w:t>**</w:t>
            </w:r>
          </w:p>
        </w:tc>
        <w:tc>
          <w:tcPr>
            <w:tcW w:w="2268" w:type="dxa"/>
          </w:tcPr>
          <w:p w:rsidR="0047783A" w:rsidRPr="00E82463" w:rsidRDefault="006A48EA" w:rsidP="00A4424B">
            <w:pPr>
              <w:jc w:val="center"/>
              <w:rPr>
                <w:rFonts w:ascii="Times New Roman" w:hAnsi="Times New Roman"/>
                <w:sz w:val="22"/>
              </w:rPr>
            </w:pPr>
            <w:r>
              <w:rPr>
                <w:rFonts w:ascii="Times New Roman" w:hAnsi="Times New Roman"/>
                <w:sz w:val="22"/>
              </w:rPr>
              <w:t>11.00 h</w:t>
            </w:r>
            <w:r w:rsidR="002E11E3" w:rsidRPr="00E82463">
              <w:rPr>
                <w:rFonts w:ascii="Times New Roman" w:hAnsi="Times New Roman"/>
                <w:b/>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7783A" w:rsidRPr="00E82463" w:rsidRDefault="006A48EA" w:rsidP="00F679ED">
            <w:pPr>
              <w:tabs>
                <w:tab w:val="left" w:pos="851"/>
              </w:tabs>
              <w:rPr>
                <w:rFonts w:ascii="Times New Roman" w:hAnsi="Times New Roman"/>
                <w:sz w:val="22"/>
              </w:rPr>
            </w:pPr>
            <w:r>
              <w:rPr>
                <w:rFonts w:ascii="Times New Roman" w:hAnsi="Times New Roman"/>
                <w:sz w:val="22"/>
              </w:rPr>
              <w:t>1</w:t>
            </w:r>
            <w:r w:rsidR="003F02F2">
              <w:rPr>
                <w:rFonts w:ascii="Times New Roman" w:hAnsi="Times New Roman"/>
                <w:sz w:val="22"/>
              </w:rPr>
              <w:t>8</w:t>
            </w:r>
            <w:r>
              <w:rPr>
                <w:rFonts w:ascii="Times New Roman" w:hAnsi="Times New Roman"/>
                <w:sz w:val="22"/>
              </w:rPr>
              <w:t>.0</w:t>
            </w:r>
            <w:r w:rsidR="008A036D">
              <w:rPr>
                <w:rFonts w:ascii="Times New Roman" w:hAnsi="Times New Roman"/>
                <w:sz w:val="22"/>
              </w:rPr>
              <w:t>3</w:t>
            </w:r>
            <w:r>
              <w:rPr>
                <w:rFonts w:ascii="Times New Roman" w:hAnsi="Times New Roman"/>
                <w:sz w:val="22"/>
              </w:rPr>
              <w:t>.2020</w:t>
            </w:r>
            <w:r>
              <w:rPr>
                <w:rFonts w:ascii="Times New Roman" w:hAnsi="Times New Roman"/>
                <w:b/>
              </w:rPr>
              <w:t>**</w:t>
            </w:r>
          </w:p>
        </w:tc>
        <w:tc>
          <w:tcPr>
            <w:tcW w:w="2268" w:type="dxa"/>
          </w:tcPr>
          <w:p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7783A" w:rsidRPr="00E82463" w:rsidRDefault="003F02F2" w:rsidP="00F679ED">
            <w:pPr>
              <w:tabs>
                <w:tab w:val="left" w:pos="851"/>
              </w:tabs>
              <w:rPr>
                <w:rFonts w:ascii="Times New Roman" w:hAnsi="Times New Roman"/>
                <w:sz w:val="22"/>
              </w:rPr>
            </w:pPr>
            <w:r>
              <w:rPr>
                <w:rFonts w:ascii="Times New Roman" w:hAnsi="Times New Roman"/>
                <w:sz w:val="22"/>
              </w:rPr>
              <w:t>20</w:t>
            </w:r>
            <w:r w:rsidR="006A48EA">
              <w:rPr>
                <w:rFonts w:ascii="Times New Roman" w:hAnsi="Times New Roman"/>
                <w:sz w:val="22"/>
              </w:rPr>
              <w:t>.0</w:t>
            </w:r>
            <w:r w:rsidR="008A036D">
              <w:rPr>
                <w:rFonts w:ascii="Times New Roman" w:hAnsi="Times New Roman"/>
                <w:sz w:val="22"/>
              </w:rPr>
              <w:t>3</w:t>
            </w:r>
            <w:r w:rsidR="006A48EA">
              <w:rPr>
                <w:rFonts w:ascii="Times New Roman" w:hAnsi="Times New Roman"/>
                <w:sz w:val="22"/>
              </w:rPr>
              <w:t>.2020</w:t>
            </w:r>
            <w:r w:rsidR="006A48EA">
              <w:rPr>
                <w:rFonts w:ascii="Times New Roman" w:hAnsi="Times New Roman"/>
                <w:b/>
              </w:rPr>
              <w:t>**</w:t>
            </w:r>
          </w:p>
        </w:tc>
        <w:tc>
          <w:tcPr>
            <w:tcW w:w="2268" w:type="dxa"/>
          </w:tcPr>
          <w:p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rsidR="0047783A" w:rsidRDefault="0047783A" w:rsidP="002E11E3">
      <w:pPr>
        <w:tabs>
          <w:tab w:val="left" w:pos="851"/>
        </w:tabs>
        <w:rPr>
          <w:rFonts w:ascii="Times New Roman" w:hAnsi="Times New Roman"/>
          <w:b/>
        </w:rPr>
      </w:pPr>
      <w:bookmarkStart w:id="7"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1"/>
      </w:pPr>
      <w:bookmarkStart w:id="8" w:name="_Toc42488072"/>
      <w:bookmarkEnd w:id="7"/>
      <w:r w:rsidRPr="00E82463">
        <w:t>Participation</w:t>
      </w:r>
      <w:bookmarkEnd w:id="8"/>
    </w:p>
    <w:p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1225D3">
        <w:rPr>
          <w:sz w:val="22"/>
          <w:szCs w:val="22"/>
          <w:lang w:val="en-GB"/>
        </w:rPr>
        <w:t xml:space="preserve">Participation is open to all </w:t>
      </w:r>
      <w:r w:rsidR="00123EDC" w:rsidRPr="001225D3">
        <w:rPr>
          <w:rFonts w:eastAsia="Calibri"/>
          <w:sz w:val="22"/>
          <w:szCs w:val="22"/>
          <w:lang w:val="en-GB"/>
        </w:rPr>
        <w:t xml:space="preserve">natural persons who are nationals of and </w:t>
      </w:r>
      <w:r w:rsidR="00123EDC" w:rsidRPr="001225D3">
        <w:rPr>
          <w:sz w:val="22"/>
          <w:szCs w:val="22"/>
          <w:lang w:val="en-GB"/>
        </w:rPr>
        <w:t xml:space="preserve">legal persons </w:t>
      </w:r>
      <w:r w:rsidR="00D8732D" w:rsidRPr="001225D3">
        <w:rPr>
          <w:sz w:val="22"/>
          <w:szCs w:val="22"/>
          <w:lang w:val="en-GB"/>
        </w:rPr>
        <w:t>(</w:t>
      </w:r>
      <w:r w:rsidR="00123EDC" w:rsidRPr="001225D3">
        <w:rPr>
          <w:sz w:val="22"/>
          <w:szCs w:val="22"/>
          <w:lang w:val="en-GB"/>
        </w:rPr>
        <w:t xml:space="preserve">participating either individually or in a grouping </w:t>
      </w:r>
      <w:r w:rsidR="00A8413B" w:rsidRPr="001225D3">
        <w:rPr>
          <w:sz w:val="22"/>
          <w:szCs w:val="22"/>
          <w:lang w:val="en-GB"/>
        </w:rPr>
        <w:t>–</w:t>
      </w:r>
      <w:r w:rsidR="00D8732D" w:rsidRPr="001225D3">
        <w:rPr>
          <w:sz w:val="22"/>
          <w:szCs w:val="22"/>
          <w:lang w:val="en-GB"/>
        </w:rPr>
        <w:t xml:space="preserve"> </w:t>
      </w:r>
      <w:r w:rsidR="00123EDC" w:rsidRPr="001225D3">
        <w:rPr>
          <w:sz w:val="22"/>
          <w:szCs w:val="22"/>
          <w:lang w:val="en-GB"/>
        </w:rPr>
        <w:t>consortium</w:t>
      </w:r>
      <w:r w:rsidR="00D8732D" w:rsidRPr="001225D3">
        <w:rPr>
          <w:sz w:val="22"/>
          <w:szCs w:val="22"/>
          <w:lang w:val="en-GB"/>
        </w:rPr>
        <w:t xml:space="preserve"> </w:t>
      </w:r>
      <w:r w:rsidR="00A8413B" w:rsidRPr="001225D3">
        <w:rPr>
          <w:sz w:val="22"/>
          <w:szCs w:val="22"/>
          <w:lang w:val="en-GB"/>
        </w:rPr>
        <w:t>–</w:t>
      </w:r>
      <w:r w:rsidR="00123EDC" w:rsidRPr="001225D3">
        <w:rPr>
          <w:sz w:val="22"/>
          <w:szCs w:val="22"/>
          <w:lang w:val="en-GB"/>
        </w:rPr>
        <w:t xml:space="preserve"> of tenderers</w:t>
      </w:r>
      <w:r w:rsidR="00D8732D" w:rsidRPr="001225D3">
        <w:rPr>
          <w:sz w:val="22"/>
          <w:szCs w:val="22"/>
          <w:lang w:val="en-GB"/>
        </w:rPr>
        <w:t>)</w:t>
      </w:r>
      <w:r w:rsidR="00123EDC" w:rsidRPr="001225D3">
        <w:rPr>
          <w:sz w:val="22"/>
          <w:szCs w:val="22"/>
          <w:lang w:val="en-GB"/>
        </w:rPr>
        <w:t xml:space="preserve"> which are effectively established in a  Member State of the European Union or in a eligible country or territory  as defined under </w:t>
      </w:r>
      <w:r w:rsidR="00123EDC" w:rsidRPr="001225D3">
        <w:rPr>
          <w:rFonts w:eastAsia="Calibri"/>
          <w:bCs/>
          <w:snapToGrid/>
          <w:sz w:val="22"/>
          <w:szCs w:val="22"/>
          <w:lang w:val="en-GB"/>
        </w:rPr>
        <w:t xml:space="preserve">the Regulation </w:t>
      </w:r>
      <w:r w:rsidR="00123EDC" w:rsidRPr="001225D3">
        <w:rPr>
          <w:sz w:val="22"/>
          <w:szCs w:val="22"/>
          <w:lang w:val="en-GB"/>
        </w:rPr>
        <w:t xml:space="preserve">(EU) </w:t>
      </w:r>
      <w:r w:rsidR="00A8413B" w:rsidRPr="001225D3">
        <w:rPr>
          <w:sz w:val="22"/>
          <w:szCs w:val="22"/>
          <w:lang w:val="en-GB"/>
        </w:rPr>
        <w:t>No </w:t>
      </w:r>
      <w:r w:rsidR="00123EDC" w:rsidRPr="001225D3">
        <w:rPr>
          <w:rFonts w:eastAsia="MS Mincho"/>
          <w:noProof/>
          <w:sz w:val="22"/>
          <w:szCs w:val="22"/>
          <w:lang w:val="en-GB" w:eastAsia="ja-JP"/>
        </w:rPr>
        <w:t xml:space="preserve">236/2014 </w:t>
      </w:r>
      <w:r w:rsidR="00123EDC" w:rsidRPr="001225D3">
        <w:rPr>
          <w:rFonts w:eastAsia="Calibri"/>
          <w:bCs/>
          <w:snapToGrid/>
          <w:sz w:val="22"/>
          <w:szCs w:val="22"/>
          <w:lang w:val="en-GB"/>
        </w:rPr>
        <w:t xml:space="preserve">establishing common rules and procedures for the implementation of the Union's instruments for external action (CIR) </w:t>
      </w:r>
      <w:r w:rsidR="00123EDC" w:rsidRPr="001225D3">
        <w:rPr>
          <w:sz w:val="22"/>
          <w:szCs w:val="22"/>
          <w:lang w:val="en-GB"/>
        </w:rPr>
        <w:t xml:space="preserve">for the applicable </w:t>
      </w:r>
      <w:r w:rsidR="00EB295F" w:rsidRPr="001225D3">
        <w:rPr>
          <w:sz w:val="22"/>
          <w:szCs w:val="22"/>
          <w:lang w:val="en-GB"/>
        </w:rPr>
        <w:t>i</w:t>
      </w:r>
      <w:r w:rsidR="00123EDC" w:rsidRPr="001225D3">
        <w:rPr>
          <w:sz w:val="22"/>
          <w:szCs w:val="22"/>
          <w:lang w:val="en-GB"/>
        </w:rPr>
        <w:t xml:space="preserve">nstrument under which the contract is financed (see also heading 22 </w:t>
      </w:r>
      <w:r w:rsidR="00FD4F5A" w:rsidRPr="001225D3">
        <w:rPr>
          <w:sz w:val="22"/>
          <w:szCs w:val="22"/>
          <w:lang w:val="en-GB"/>
        </w:rPr>
        <w:t>of the contract notice</w:t>
      </w:r>
      <w:r w:rsidR="00123EDC" w:rsidRPr="001225D3">
        <w:rPr>
          <w:sz w:val="22"/>
          <w:szCs w:val="22"/>
          <w:lang w:val="en-GB"/>
        </w:rPr>
        <w:t xml:space="preserve">). Participation is also open to international organisations. All supplies under this contract must originate in one or more of these countries. </w:t>
      </w:r>
      <w:r w:rsidR="00123EDC" w:rsidRPr="001225D3">
        <w:rPr>
          <w:rFonts w:eastAsia="Calibri"/>
          <w:noProof/>
          <w:sz w:val="22"/>
          <w:szCs w:val="22"/>
          <w:lang w:val="en-GB"/>
        </w:rPr>
        <w:t>However, they may originate from any country when</w:t>
      </w:r>
      <w:bookmarkStart w:id="9" w:name="_DV_C321"/>
      <w:r w:rsidR="00123EDC" w:rsidRPr="001225D3">
        <w:rPr>
          <w:rFonts w:eastAsia="Calibri"/>
          <w:noProof/>
          <w:color w:val="000000"/>
          <w:sz w:val="22"/>
          <w:szCs w:val="22"/>
          <w:lang w:val="en-GB"/>
        </w:rPr>
        <w:t xml:space="preserve">  the amount of the supplies to be purchased</w:t>
      </w:r>
      <w:r w:rsidR="00E72143" w:rsidRPr="001225D3">
        <w:rPr>
          <w:rFonts w:eastAsia="Calibri"/>
          <w:noProof/>
          <w:color w:val="000000"/>
          <w:sz w:val="22"/>
          <w:szCs w:val="22"/>
          <w:lang w:val="en-GB"/>
        </w:rPr>
        <w:t xml:space="preserve"> (as a whole or, if divided into lots, per lot)</w:t>
      </w:r>
      <w:r w:rsidR="00123EDC" w:rsidRPr="001225D3">
        <w:rPr>
          <w:rFonts w:eastAsia="Calibri"/>
          <w:noProof/>
          <w:color w:val="000000"/>
          <w:sz w:val="22"/>
          <w:szCs w:val="22"/>
          <w:lang w:val="en-GB"/>
        </w:rPr>
        <w:t xml:space="preserve"> is below</w:t>
      </w:r>
      <w:bookmarkEnd w:id="9"/>
      <w:r w:rsidR="0066145D" w:rsidRPr="001225D3">
        <w:rPr>
          <w:rFonts w:eastAsia="Calibri"/>
          <w:noProof/>
          <w:color w:val="000000"/>
          <w:sz w:val="22"/>
          <w:szCs w:val="22"/>
          <w:lang w:val="en-GB"/>
        </w:rPr>
        <w:t xml:space="preserve"> </w:t>
      </w:r>
      <w:r w:rsidR="00E72143" w:rsidRPr="001225D3">
        <w:rPr>
          <w:rFonts w:eastAsia="Calibri"/>
          <w:noProof/>
          <w:color w:val="000000"/>
          <w:sz w:val="22"/>
          <w:szCs w:val="22"/>
          <w:lang w:val="en-GB"/>
        </w:rPr>
        <w:t xml:space="preserve">EUR </w:t>
      </w:r>
      <w:r w:rsidR="00123EDC" w:rsidRPr="001225D3">
        <w:rPr>
          <w:rFonts w:eastAsia="Calibri"/>
          <w:noProof/>
          <w:color w:val="000000"/>
          <w:sz w:val="22"/>
          <w:szCs w:val="22"/>
          <w:lang w:val="en-GB"/>
        </w:rPr>
        <w:t>100 000</w:t>
      </w:r>
      <w:r w:rsidR="00123EDC" w:rsidRPr="001225D3">
        <w:rPr>
          <w:rFonts w:eastAsia="Calibri"/>
          <w:noProof/>
          <w:sz w:val="22"/>
          <w:szCs w:val="22"/>
          <w:lang w:val="en-GB"/>
        </w:rPr>
        <w:t>.</w:t>
      </w:r>
      <w:r w:rsidR="00123EDC" w:rsidRPr="00E82463">
        <w:rPr>
          <w:rFonts w:eastAsia="Calibri"/>
          <w:noProof/>
          <w:sz w:val="22"/>
          <w:szCs w:val="22"/>
          <w:lang w:val="en-GB"/>
        </w:rPr>
        <w:t xml:space="preserve"> </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7A0C47" w:rsidRDefault="0047783A" w:rsidP="00A4424B">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w:t>
      </w:r>
      <w:r w:rsidR="003F6D98" w:rsidRPr="003F6D98">
        <w:rPr>
          <w:rFonts w:ascii="Times New Roman" w:hAnsi="Times New Roman"/>
          <w:sz w:val="22"/>
          <w:szCs w:val="22"/>
          <w:lang w:val="en-GB"/>
        </w:rPr>
        <w:lastRenderedPageBreak/>
        <w:t>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af3"/>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w:t>
      </w:r>
      <w:proofErr w:type="gramStart"/>
      <w:r w:rsidR="00961615">
        <w:rPr>
          <w:rFonts w:ascii="Times New Roman" w:hAnsi="Times New Roman"/>
          <w:sz w:val="22"/>
          <w:lang w:val="en-GB"/>
        </w:rPr>
        <w:t xml:space="preserve">force </w:t>
      </w:r>
      <w:r w:rsidRPr="00E82463">
        <w:rPr>
          <w:rFonts w:ascii="Times New Roman" w:hAnsi="Times New Roman"/>
          <w:sz w:val="22"/>
          <w:lang w:val="en-GB"/>
        </w:rPr>
        <w:t>.</w:t>
      </w:r>
      <w:proofErr w:type="gramEnd"/>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47783A" w:rsidRPr="00225F75" w:rsidRDefault="0047783A" w:rsidP="00246B4E">
      <w:pPr>
        <w:pStyle w:val="2"/>
        <w:tabs>
          <w:tab w:val="num" w:pos="709"/>
          <w:tab w:val="left" w:pos="792"/>
          <w:tab w:val="left" w:pos="8080"/>
        </w:tabs>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rsidR="0047783A" w:rsidRPr="00E82463" w:rsidRDefault="0047783A" w:rsidP="00A4424B">
      <w:pPr>
        <w:pStyle w:val="1"/>
      </w:pPr>
      <w:bookmarkStart w:id="10" w:name="_Toc42488073"/>
      <w:r w:rsidRPr="00E82463">
        <w:t>Origin</w:t>
      </w:r>
      <w:bookmarkEnd w:id="10"/>
    </w:p>
    <w:p w:rsidR="00246B4E" w:rsidRPr="00C61161" w:rsidRDefault="0047783A" w:rsidP="00246B4E">
      <w:pPr>
        <w:pStyle w:val="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rsidR="00D33BE3" w:rsidRPr="00D33BE3" w:rsidRDefault="00D33BE3" w:rsidP="0063744A">
      <w:pPr>
        <w:ind w:left="567"/>
        <w:jc w:val="both"/>
        <w:rPr>
          <w:rFonts w:ascii="Times New Roman" w:hAnsi="Times New Roman"/>
          <w:sz w:val="22"/>
          <w:szCs w:val="22"/>
        </w:rPr>
      </w:pPr>
      <w:r w:rsidRPr="00246B4E">
        <w:rPr>
          <w:rFonts w:ascii="Times New Roman" w:hAnsi="Times New Roman"/>
          <w:sz w:val="22"/>
          <w:szCs w:val="22"/>
        </w:rPr>
        <w:t xml:space="preserve">All supplies under this contract may </w:t>
      </w:r>
      <w:r w:rsidRPr="00246B4E">
        <w:rPr>
          <w:rFonts w:ascii="Times New Roman" w:eastAsia="Calibri" w:hAnsi="Times New Roman"/>
          <w:noProof/>
          <w:sz w:val="22"/>
          <w:szCs w:val="22"/>
        </w:rPr>
        <w:t>originate from any country.</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E82463" w:rsidRDefault="0047783A" w:rsidP="00A4424B">
      <w:pPr>
        <w:pStyle w:val="1"/>
      </w:pPr>
      <w:bookmarkStart w:id="11" w:name="_Toc42488074"/>
      <w:r w:rsidRPr="00E82463">
        <w:t>Type of contract</w:t>
      </w:r>
      <w:bookmarkEnd w:id="11"/>
    </w:p>
    <w:p w:rsidR="0047783A" w:rsidRPr="00E82463" w:rsidRDefault="0047783A" w:rsidP="0047783A">
      <w:pPr>
        <w:pStyle w:val="2"/>
        <w:keepNext w:val="0"/>
        <w:ind w:left="567"/>
        <w:jc w:val="both"/>
        <w:rPr>
          <w:rFonts w:ascii="Times New Roman" w:hAnsi="Times New Roman"/>
          <w:sz w:val="22"/>
          <w:lang w:val="en-GB"/>
        </w:rPr>
      </w:pPr>
      <w:r w:rsidRPr="006A48EA">
        <w:rPr>
          <w:rFonts w:ascii="Times New Roman" w:hAnsi="Times New Roman"/>
          <w:sz w:val="22"/>
          <w:lang w:val="en-GB"/>
        </w:rPr>
        <w:t>lump sum</w:t>
      </w:r>
    </w:p>
    <w:p w:rsidR="0047783A" w:rsidRPr="00E82463" w:rsidRDefault="0047783A" w:rsidP="00A4424B">
      <w:pPr>
        <w:pStyle w:val="1"/>
      </w:pPr>
      <w:bookmarkStart w:id="12" w:name="_Toc42488075"/>
      <w:r w:rsidRPr="00E82463">
        <w:t>Currency</w:t>
      </w:r>
      <w:bookmarkEnd w:id="12"/>
    </w:p>
    <w:p w:rsidR="0047783A" w:rsidRPr="00E82463" w:rsidRDefault="0047783A" w:rsidP="0047783A">
      <w:pPr>
        <w:pStyle w:val="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246B4E">
        <w:rPr>
          <w:rFonts w:ascii="Times New Roman" w:hAnsi="Times New Roman"/>
          <w:bCs/>
          <w:sz w:val="22"/>
          <w:szCs w:val="22"/>
          <w:lang w:val="en-GB"/>
        </w:rPr>
        <w:t>E</w:t>
      </w:r>
      <w:r w:rsidRPr="00246B4E">
        <w:rPr>
          <w:rFonts w:ascii="Times New Roman" w:hAnsi="Times New Roman"/>
          <w:bCs/>
          <w:sz w:val="22"/>
          <w:szCs w:val="22"/>
          <w:lang w:val="en-GB"/>
        </w:rPr>
        <w:t>uro</w:t>
      </w:r>
    </w:p>
    <w:p w:rsidR="0047783A" w:rsidRPr="008A036D" w:rsidRDefault="0047783A" w:rsidP="00A4424B">
      <w:pPr>
        <w:pStyle w:val="1"/>
        <w:rPr>
          <w:lang w:val="en-GB"/>
        </w:rPr>
      </w:pPr>
      <w:bookmarkStart w:id="13" w:name="_Toc42488076"/>
      <w:r w:rsidRPr="008A036D">
        <w:rPr>
          <w:lang w:val="en-GB"/>
        </w:rPr>
        <w:lastRenderedPageBreak/>
        <w:t>Lots</w:t>
      </w:r>
      <w:bookmarkEnd w:id="13"/>
    </w:p>
    <w:p w:rsidR="008A036D" w:rsidRPr="008A036D" w:rsidRDefault="008A036D" w:rsidP="008A036D">
      <w:pPr>
        <w:ind w:left="567"/>
        <w:jc w:val="both"/>
        <w:rPr>
          <w:rFonts w:ascii="Times New Roman" w:hAnsi="Times New Roman"/>
          <w:sz w:val="22"/>
        </w:rPr>
      </w:pPr>
      <w:r w:rsidRPr="008A036D">
        <w:rPr>
          <w:rFonts w:ascii="Times New Roman" w:hAnsi="Times New Roman"/>
          <w:sz w:val="22"/>
        </w:rPr>
        <w:t>This tender procedure is not divided into lots.</w:t>
      </w:r>
    </w:p>
    <w:p w:rsidR="0047783A" w:rsidRPr="00E82463" w:rsidRDefault="0047783A" w:rsidP="00A4424B">
      <w:pPr>
        <w:pStyle w:val="1"/>
      </w:pPr>
      <w:bookmarkStart w:id="14" w:name="_Toc42488077"/>
      <w:r w:rsidRPr="00E82463">
        <w:t>Period of validity</w:t>
      </w:r>
      <w:bookmarkEnd w:id="14"/>
    </w:p>
    <w:p w:rsidR="0047783A" w:rsidRPr="00E82463"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BB6E6B" w:rsidRDefault="0047783A" w:rsidP="00AC07D4">
      <w:pPr>
        <w:tabs>
          <w:tab w:val="num" w:pos="567"/>
        </w:tabs>
        <w:ind w:left="567" w:hanging="567"/>
        <w:jc w:val="both"/>
        <w:rPr>
          <w:rFonts w:ascii="Times New Roman" w:hAnsi="Times New Roman"/>
          <w:lang w:val="en-US"/>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1"/>
      </w:pPr>
      <w:bookmarkStart w:id="15" w:name="_Toc42488078"/>
      <w:bookmarkStart w:id="16" w:name="_Ref500330462"/>
      <w:r w:rsidRPr="00E82463">
        <w:t xml:space="preserve">Language of </w:t>
      </w:r>
      <w:bookmarkEnd w:id="15"/>
      <w:r w:rsidR="009A3A53" w:rsidRPr="00E82463">
        <w:t>tenders</w:t>
      </w:r>
    </w:p>
    <w:bookmarkEnd w:id="16"/>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1"/>
      </w:pPr>
      <w:bookmarkStart w:id="17" w:name="_Toc42488079"/>
      <w:r w:rsidRPr="00E82463">
        <w:t>Submission of tenders</w:t>
      </w:r>
      <w:bookmarkEnd w:id="17"/>
    </w:p>
    <w:p w:rsidR="0047783A" w:rsidRPr="00E82463" w:rsidRDefault="0047783A" w:rsidP="0047783A">
      <w:pPr>
        <w:pStyle w:val="2"/>
        <w:keepNext w:val="0"/>
        <w:ind w:left="567" w:hanging="567"/>
        <w:jc w:val="both"/>
        <w:rPr>
          <w:rFonts w:ascii="Times New Roman" w:hAnsi="Times New Roman"/>
          <w:lang w:val="en-GB"/>
        </w:rPr>
      </w:pPr>
      <w:bookmarkStart w:id="18"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8"/>
    <w:p w:rsidR="00BB6E6B" w:rsidRPr="00BB6E6B" w:rsidRDefault="00BB6E6B" w:rsidP="00BB6E6B">
      <w:pPr>
        <w:spacing w:before="0" w:after="0"/>
        <w:ind w:left="357" w:right="357"/>
        <w:jc w:val="center"/>
        <w:rPr>
          <w:rFonts w:ascii="Times New Roman" w:hAnsi="Times New Roman"/>
          <w:b/>
          <w:snapToGrid/>
          <w:sz w:val="22"/>
          <w:szCs w:val="22"/>
          <w:lang w:eastAsia="en-GB"/>
        </w:rPr>
      </w:pPr>
      <w:r w:rsidRPr="00BB6E6B">
        <w:rPr>
          <w:rFonts w:ascii="Times New Roman" w:hAnsi="Times New Roman"/>
          <w:b/>
          <w:snapToGrid/>
          <w:sz w:val="22"/>
          <w:szCs w:val="22"/>
          <w:lang w:eastAsia="en-GB"/>
        </w:rPr>
        <w:t xml:space="preserve">Municipality of </w:t>
      </w:r>
      <w:proofErr w:type="spellStart"/>
      <w:r w:rsidRPr="00BB6E6B">
        <w:rPr>
          <w:rFonts w:ascii="Times New Roman" w:hAnsi="Times New Roman"/>
          <w:b/>
          <w:snapToGrid/>
          <w:sz w:val="22"/>
          <w:szCs w:val="22"/>
          <w:lang w:eastAsia="en-GB"/>
        </w:rPr>
        <w:t>Suloglu</w:t>
      </w:r>
      <w:proofErr w:type="spellEnd"/>
    </w:p>
    <w:p w:rsidR="00BB6E6B" w:rsidRPr="00BB6E6B" w:rsidRDefault="00BB6E6B" w:rsidP="00BB6E6B">
      <w:pPr>
        <w:spacing w:before="0" w:after="0"/>
        <w:ind w:left="357"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Address: Merkez </w:t>
      </w:r>
      <w:proofErr w:type="spellStart"/>
      <w:r w:rsidRPr="00BB6E6B">
        <w:rPr>
          <w:rFonts w:ascii="Times New Roman" w:hAnsi="Times New Roman"/>
          <w:snapToGrid/>
          <w:sz w:val="22"/>
          <w:szCs w:val="22"/>
          <w:lang w:eastAsia="en-GB"/>
        </w:rPr>
        <w:t>Mah</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Kemalbalıkesir</w:t>
      </w:r>
      <w:proofErr w:type="spellEnd"/>
      <w:r w:rsidRPr="00BB6E6B">
        <w:rPr>
          <w:rFonts w:ascii="Times New Roman" w:hAnsi="Times New Roman"/>
          <w:snapToGrid/>
          <w:sz w:val="22"/>
          <w:szCs w:val="22"/>
          <w:lang w:eastAsia="en-GB"/>
        </w:rPr>
        <w:t xml:space="preserve"> Cad. No.46</w:t>
      </w:r>
    </w:p>
    <w:p w:rsidR="00BB6E6B" w:rsidRPr="00BB6E6B" w:rsidRDefault="00BB6E6B" w:rsidP="00BB6E6B">
      <w:pPr>
        <w:spacing w:before="0" w:after="0"/>
        <w:ind w:left="357" w:right="357"/>
        <w:jc w:val="center"/>
        <w:rPr>
          <w:rFonts w:ascii="Times New Roman" w:hAnsi="Times New Roman"/>
          <w:snapToGrid/>
          <w:sz w:val="22"/>
          <w:szCs w:val="22"/>
          <w:lang w:eastAsia="en-GB"/>
        </w:rPr>
      </w:pPr>
      <w:proofErr w:type="spellStart"/>
      <w:r w:rsidRPr="00BB6E6B">
        <w:rPr>
          <w:rFonts w:ascii="Times New Roman" w:hAnsi="Times New Roman"/>
          <w:snapToGrid/>
          <w:sz w:val="22"/>
          <w:szCs w:val="22"/>
          <w:lang w:eastAsia="en-GB"/>
        </w:rPr>
        <w:t>Suloglu</w:t>
      </w:r>
      <w:proofErr w:type="spellEnd"/>
      <w:r w:rsidRPr="00BB6E6B">
        <w:rPr>
          <w:rFonts w:ascii="Times New Roman" w:hAnsi="Times New Roman"/>
          <w:snapToGrid/>
          <w:sz w:val="22"/>
          <w:szCs w:val="22"/>
          <w:lang w:eastAsia="en-GB"/>
        </w:rPr>
        <w:t>, Edirne, Turkey</w:t>
      </w:r>
    </w:p>
    <w:p w:rsidR="00BB6E6B" w:rsidRPr="00BB6E6B" w:rsidRDefault="00BB6E6B" w:rsidP="00BB6E6B">
      <w:pPr>
        <w:spacing w:before="0" w:after="0"/>
        <w:ind w:left="357"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Contact person: Mrs. </w:t>
      </w:r>
      <w:proofErr w:type="spellStart"/>
      <w:r w:rsidRPr="00BB6E6B">
        <w:rPr>
          <w:rFonts w:ascii="Times New Roman" w:hAnsi="Times New Roman"/>
          <w:snapToGrid/>
          <w:sz w:val="22"/>
          <w:szCs w:val="22"/>
          <w:lang w:eastAsia="en-GB"/>
        </w:rPr>
        <w:t>Nazife</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Ahmedova</w:t>
      </w:r>
      <w:proofErr w:type="spellEnd"/>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rsidR="00BB6E6B" w:rsidRPr="00BB6E6B" w:rsidRDefault="00BB6E6B" w:rsidP="00BB6E6B">
      <w:pPr>
        <w:spacing w:before="0" w:after="0"/>
        <w:ind w:left="720" w:right="357"/>
        <w:jc w:val="center"/>
        <w:rPr>
          <w:rFonts w:ascii="Times New Roman" w:hAnsi="Times New Roman"/>
          <w:b/>
          <w:snapToGrid/>
          <w:sz w:val="22"/>
          <w:szCs w:val="22"/>
          <w:lang w:eastAsia="en-GB"/>
        </w:rPr>
      </w:pPr>
      <w:r w:rsidRPr="00BB6E6B">
        <w:rPr>
          <w:rFonts w:ascii="Times New Roman" w:hAnsi="Times New Roman"/>
          <w:b/>
          <w:snapToGrid/>
          <w:sz w:val="22"/>
          <w:szCs w:val="22"/>
          <w:lang w:eastAsia="en-GB"/>
        </w:rPr>
        <w:t xml:space="preserve">Municipality of </w:t>
      </w:r>
      <w:proofErr w:type="spellStart"/>
      <w:r w:rsidRPr="00BB6E6B">
        <w:rPr>
          <w:rFonts w:ascii="Times New Roman" w:hAnsi="Times New Roman"/>
          <w:b/>
          <w:snapToGrid/>
          <w:sz w:val="22"/>
          <w:szCs w:val="22"/>
          <w:lang w:eastAsia="en-GB"/>
        </w:rPr>
        <w:t>Suloglu</w:t>
      </w:r>
      <w:proofErr w:type="spellEnd"/>
    </w:p>
    <w:p w:rsidR="00BB6E6B" w:rsidRPr="00BB6E6B" w:rsidRDefault="00BB6E6B" w:rsidP="00BB6E6B">
      <w:pPr>
        <w:spacing w:before="0" w:after="0"/>
        <w:ind w:left="720"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Address: Merkez </w:t>
      </w:r>
      <w:proofErr w:type="spellStart"/>
      <w:r w:rsidRPr="00BB6E6B">
        <w:rPr>
          <w:rFonts w:ascii="Times New Roman" w:hAnsi="Times New Roman"/>
          <w:snapToGrid/>
          <w:sz w:val="22"/>
          <w:szCs w:val="22"/>
          <w:lang w:eastAsia="en-GB"/>
        </w:rPr>
        <w:t>Mah</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Kemalbalıkesir</w:t>
      </w:r>
      <w:proofErr w:type="spellEnd"/>
      <w:r w:rsidRPr="00BB6E6B">
        <w:rPr>
          <w:rFonts w:ascii="Times New Roman" w:hAnsi="Times New Roman"/>
          <w:snapToGrid/>
          <w:sz w:val="22"/>
          <w:szCs w:val="22"/>
          <w:lang w:eastAsia="en-GB"/>
        </w:rPr>
        <w:t xml:space="preserve"> Cad. No.46</w:t>
      </w:r>
    </w:p>
    <w:p w:rsidR="00BB6E6B" w:rsidRPr="00BB6E6B" w:rsidRDefault="00BB6E6B" w:rsidP="00BB6E6B">
      <w:pPr>
        <w:spacing w:before="0" w:after="0"/>
        <w:ind w:left="720" w:right="357"/>
        <w:jc w:val="center"/>
        <w:rPr>
          <w:rFonts w:ascii="Times New Roman" w:hAnsi="Times New Roman"/>
          <w:snapToGrid/>
          <w:sz w:val="22"/>
          <w:szCs w:val="22"/>
          <w:lang w:eastAsia="en-GB"/>
        </w:rPr>
      </w:pPr>
      <w:proofErr w:type="spellStart"/>
      <w:r w:rsidRPr="00BB6E6B">
        <w:rPr>
          <w:rFonts w:ascii="Times New Roman" w:hAnsi="Times New Roman"/>
          <w:snapToGrid/>
          <w:sz w:val="22"/>
          <w:szCs w:val="22"/>
          <w:lang w:eastAsia="en-GB"/>
        </w:rPr>
        <w:t>Suloglu</w:t>
      </w:r>
      <w:proofErr w:type="spellEnd"/>
      <w:r w:rsidRPr="00BB6E6B">
        <w:rPr>
          <w:rFonts w:ascii="Times New Roman" w:hAnsi="Times New Roman"/>
          <w:snapToGrid/>
          <w:sz w:val="22"/>
          <w:szCs w:val="22"/>
          <w:lang w:eastAsia="en-GB"/>
        </w:rPr>
        <w:t xml:space="preserve"> 22560, Edirne, Turkey</w:t>
      </w:r>
    </w:p>
    <w:p w:rsidR="00BB6E6B" w:rsidRPr="00BB6E6B" w:rsidRDefault="00BB6E6B" w:rsidP="00BB6E6B">
      <w:pPr>
        <w:spacing w:before="0" w:after="0"/>
        <w:ind w:left="720"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Contact person: Mrs. </w:t>
      </w:r>
      <w:proofErr w:type="spellStart"/>
      <w:r w:rsidRPr="00BB6E6B">
        <w:rPr>
          <w:rFonts w:ascii="Times New Roman" w:hAnsi="Times New Roman"/>
          <w:snapToGrid/>
          <w:sz w:val="22"/>
          <w:szCs w:val="22"/>
          <w:lang w:eastAsia="en-GB"/>
        </w:rPr>
        <w:t>Nazife</w:t>
      </w:r>
      <w:proofErr w:type="spellEnd"/>
      <w:r w:rsidRPr="00BB6E6B">
        <w:rPr>
          <w:rFonts w:ascii="Times New Roman" w:hAnsi="Times New Roman"/>
          <w:snapToGrid/>
          <w:sz w:val="22"/>
          <w:szCs w:val="22"/>
          <w:lang w:eastAsia="en-GB"/>
        </w:rPr>
        <w:t xml:space="preserve"> </w:t>
      </w:r>
      <w:proofErr w:type="spellStart"/>
      <w:r w:rsidRPr="00BB6E6B">
        <w:rPr>
          <w:rFonts w:ascii="Times New Roman" w:hAnsi="Times New Roman"/>
          <w:snapToGrid/>
          <w:sz w:val="22"/>
          <w:szCs w:val="22"/>
          <w:lang w:eastAsia="en-GB"/>
        </w:rPr>
        <w:t>Ahmedova</w:t>
      </w:r>
      <w:proofErr w:type="spellEnd"/>
    </w:p>
    <w:p w:rsidR="00BB6E6B" w:rsidRPr="006A48EA" w:rsidRDefault="00BB6E6B" w:rsidP="00BB6E6B">
      <w:pPr>
        <w:spacing w:before="0" w:after="0"/>
        <w:ind w:left="720" w:right="357"/>
        <w:jc w:val="center"/>
        <w:rPr>
          <w:rFonts w:ascii="Times New Roman" w:hAnsi="Times New Roman"/>
          <w:snapToGrid/>
          <w:sz w:val="22"/>
          <w:szCs w:val="22"/>
          <w:lang w:eastAsia="en-GB"/>
        </w:rPr>
      </w:pPr>
      <w:r w:rsidRPr="006A48EA">
        <w:rPr>
          <w:rFonts w:ascii="Times New Roman" w:hAnsi="Times New Roman"/>
          <w:snapToGrid/>
          <w:sz w:val="22"/>
          <w:szCs w:val="22"/>
          <w:lang w:eastAsia="en-GB"/>
        </w:rPr>
        <w:t xml:space="preserve">Working hours: </w:t>
      </w:r>
      <w:r w:rsidR="006A48EA" w:rsidRPr="006A48EA">
        <w:rPr>
          <w:rFonts w:ascii="Times New Roman" w:hAnsi="Times New Roman"/>
          <w:snapToGrid/>
          <w:sz w:val="22"/>
          <w:szCs w:val="22"/>
          <w:lang w:eastAsia="en-GB"/>
        </w:rPr>
        <w:t>9.00 – 17.00 h /</w:t>
      </w:r>
      <w:r w:rsidRPr="006A48EA">
        <w:rPr>
          <w:rFonts w:ascii="Times New Roman" w:hAnsi="Times New Roman"/>
          <w:snapToGrid/>
          <w:sz w:val="22"/>
          <w:szCs w:val="22"/>
          <w:lang w:eastAsia="en-GB"/>
        </w:rPr>
        <w:t>Monday to Friday/</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47783A" w:rsidRPr="00E82463" w:rsidRDefault="0047783A" w:rsidP="0047783A">
      <w:pPr>
        <w:pStyle w:val="2"/>
        <w:ind w:left="567" w:hanging="567"/>
        <w:jc w:val="both"/>
        <w:rPr>
          <w:rFonts w:ascii="Times New Roman" w:hAnsi="Times New Roman"/>
          <w:lang w:val="en-GB"/>
        </w:rPr>
      </w:pPr>
      <w:bookmarkStart w:id="19"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w:t>
      </w:r>
    </w:p>
    <w:bookmarkEnd w:id="19"/>
    <w:p w:rsidR="0086759F" w:rsidRPr="00BB6E6B" w:rsidRDefault="0047783A" w:rsidP="00BB6E6B">
      <w:pPr>
        <w:pStyle w:val="2"/>
        <w:ind w:left="567" w:hanging="567"/>
        <w:jc w:val="both"/>
        <w:rPr>
          <w:rFonts w:ascii="Times New Roman" w:hAnsi="Times New Roman"/>
          <w:b/>
          <w:sz w:val="22"/>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BB6E6B" w:rsidRPr="00BB6E6B">
        <w:rPr>
          <w:rFonts w:ascii="Times New Roman" w:hAnsi="Times New Roman"/>
          <w:b/>
          <w:sz w:val="22"/>
        </w:rPr>
        <w:t>Municipality of Suloglu</w:t>
      </w:r>
      <w:r w:rsidR="00BB6E6B">
        <w:rPr>
          <w:rFonts w:ascii="Times New Roman" w:hAnsi="Times New Roman"/>
          <w:b/>
          <w:sz w:val="22"/>
        </w:rPr>
        <w:t xml:space="preserve">, </w:t>
      </w:r>
      <w:r w:rsidR="00BB6E6B" w:rsidRPr="00BB6E6B">
        <w:rPr>
          <w:rFonts w:ascii="Times New Roman" w:hAnsi="Times New Roman"/>
          <w:sz w:val="22"/>
        </w:rPr>
        <w:t>Address: Merkez Mah. Kemalbalıkesir Cad. No.46</w:t>
      </w:r>
      <w:r w:rsidR="00BB6E6B">
        <w:rPr>
          <w:rFonts w:ascii="Times New Roman" w:hAnsi="Times New Roman"/>
          <w:b/>
          <w:sz w:val="22"/>
        </w:rPr>
        <w:t xml:space="preserve">, </w:t>
      </w:r>
      <w:proofErr w:type="spellStart"/>
      <w:r w:rsidR="00BB6E6B" w:rsidRPr="00BB6E6B">
        <w:rPr>
          <w:rFonts w:ascii="Times New Roman" w:hAnsi="Times New Roman"/>
          <w:sz w:val="22"/>
          <w:lang w:val="en-GB"/>
        </w:rPr>
        <w:t>Suloglu</w:t>
      </w:r>
      <w:proofErr w:type="spellEnd"/>
      <w:r w:rsidR="00BB6E6B" w:rsidRPr="00BB6E6B">
        <w:rPr>
          <w:rFonts w:ascii="Times New Roman" w:hAnsi="Times New Roman"/>
          <w:sz w:val="22"/>
          <w:lang w:val="en-GB"/>
        </w:rPr>
        <w:t xml:space="preserve"> 22560, Edirne, Turkey </w:t>
      </w:r>
      <w:r w:rsidRPr="00E82463">
        <w:rPr>
          <w:rFonts w:ascii="Times New Roman" w:hAnsi="Times New Roman"/>
          <w:sz w:val="22"/>
          <w:lang w:val="en-GB"/>
        </w:rPr>
        <w:t xml:space="preserve">before the deadline </w:t>
      </w:r>
      <w:r w:rsidR="008A036D">
        <w:rPr>
          <w:rFonts w:ascii="Times New Roman" w:hAnsi="Times New Roman"/>
          <w:sz w:val="22"/>
          <w:lang w:val="en-GB"/>
        </w:rPr>
        <w:t>0</w:t>
      </w:r>
      <w:r w:rsidR="003F02F2">
        <w:rPr>
          <w:rFonts w:ascii="Times New Roman" w:hAnsi="Times New Roman"/>
          <w:sz w:val="22"/>
          <w:lang w:val="en-GB"/>
        </w:rPr>
        <w:t>6</w:t>
      </w:r>
      <w:r w:rsidR="006A48EA">
        <w:rPr>
          <w:rFonts w:ascii="Times New Roman" w:hAnsi="Times New Roman"/>
          <w:sz w:val="22"/>
          <w:lang w:val="en-GB"/>
        </w:rPr>
        <w:t>.0</w:t>
      </w:r>
      <w:r w:rsidR="008A036D">
        <w:rPr>
          <w:rFonts w:ascii="Times New Roman" w:hAnsi="Times New Roman"/>
          <w:sz w:val="22"/>
          <w:lang w:val="en-GB"/>
        </w:rPr>
        <w:t>3</w:t>
      </w:r>
      <w:r w:rsidR="006A48EA">
        <w:rPr>
          <w:rFonts w:ascii="Times New Roman" w:hAnsi="Times New Roman"/>
          <w:sz w:val="22"/>
          <w:lang w:val="en-GB"/>
        </w:rPr>
        <w:t>.2020 17.00 h,</w:t>
      </w:r>
    </w:p>
    <w:p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af3"/>
          <w:rFonts w:ascii="Times New Roman" w:hAnsi="Times New Roman"/>
          <w:sz w:val="22"/>
          <w:lang w:val="en-GB"/>
        </w:rPr>
        <w:footnoteReference w:id="2"/>
      </w:r>
    </w:p>
    <w:p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B6E6B">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w:t>
      </w:r>
      <w:r w:rsidR="00BB6E6B">
        <w:rPr>
          <w:rFonts w:ascii="Times New Roman" w:hAnsi="Times New Roman"/>
          <w:sz w:val="22"/>
        </w:rPr>
        <w:t xml:space="preserve">er procedure, (i.e. </w:t>
      </w:r>
      <w:r w:rsidR="006A48EA">
        <w:rPr>
          <w:rFonts w:ascii="Times New Roman" w:hAnsi="Times New Roman"/>
          <w:szCs w:val="28"/>
        </w:rPr>
        <w:t>035</w:t>
      </w:r>
      <w:r w:rsidR="00BB6E6B" w:rsidRPr="0052265F">
        <w:rPr>
          <w:rFonts w:ascii="Times New Roman" w:hAnsi="Times New Roman"/>
          <w:szCs w:val="28"/>
        </w:rPr>
        <w:t>-SUPPLY</w:t>
      </w:r>
      <w:r w:rsidR="006A48EA">
        <w:rPr>
          <w:rFonts w:ascii="Times New Roman" w:hAnsi="Times New Roman"/>
          <w:szCs w:val="28"/>
        </w:rPr>
        <w:t>-Suloglu</w:t>
      </w:r>
      <w:r w:rsidR="00BB6E6B" w:rsidRPr="0052265F">
        <w:rPr>
          <w:rFonts w:ascii="Times New Roman" w:hAnsi="Times New Roman"/>
          <w:szCs w:val="28"/>
        </w:rPr>
        <w:t>-</w:t>
      </w:r>
      <w:r w:rsidR="006A48EA">
        <w:rPr>
          <w:rFonts w:ascii="Times New Roman" w:hAnsi="Times New Roman"/>
          <w:szCs w:val="28"/>
        </w:rPr>
        <w:t>0</w:t>
      </w:r>
      <w:r w:rsidR="008A036D">
        <w:rPr>
          <w:rFonts w:ascii="Times New Roman" w:hAnsi="Times New Roman"/>
          <w:szCs w:val="28"/>
        </w:rPr>
        <w:t>5</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6A48EA" w:rsidRPr="006A48EA">
        <w:rPr>
          <w:rFonts w:ascii="Times New Roman" w:hAnsi="Times New Roman"/>
          <w:sz w:val="22"/>
        </w:rPr>
        <w:t>“</w:t>
      </w:r>
      <w:proofErr w:type="spellStart"/>
      <w:r w:rsidR="006A48EA" w:rsidRPr="006A48EA">
        <w:rPr>
          <w:rFonts w:ascii="Times New Roman" w:hAnsi="Times New Roman"/>
          <w:sz w:val="22"/>
        </w:rPr>
        <w:t>İhale</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açılış</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oturumundan</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önce</w:t>
      </w:r>
      <w:proofErr w:type="spellEnd"/>
      <w:r w:rsidR="006A48EA" w:rsidRPr="006A48EA">
        <w:rPr>
          <w:rFonts w:ascii="Times New Roman" w:hAnsi="Times New Roman"/>
          <w:sz w:val="22"/>
        </w:rPr>
        <w:t xml:space="preserve"> </w:t>
      </w:r>
      <w:proofErr w:type="spellStart"/>
      <w:r w:rsidR="006A48EA" w:rsidRPr="006A48EA">
        <w:rPr>
          <w:rFonts w:ascii="Times New Roman" w:hAnsi="Times New Roman"/>
          <w:sz w:val="22"/>
        </w:rPr>
        <w:t>açmayınız</w:t>
      </w:r>
      <w:proofErr w:type="spellEnd"/>
      <w:r w:rsidR="006A48EA" w:rsidRPr="006A48EA">
        <w:rPr>
          <w:rFonts w:ascii="Times New Roman" w:hAnsi="Times New Roman"/>
          <w:sz w:val="22"/>
        </w:rPr>
        <w:t>”</w:t>
      </w:r>
      <w:r w:rsidR="006A48EA">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technical and financial offers must be placed </w:t>
      </w:r>
      <w:r w:rsidR="006F62BC">
        <w:rPr>
          <w:rFonts w:ascii="Times New Roman" w:hAnsi="Times New Roman"/>
          <w:sz w:val="22"/>
        </w:rPr>
        <w:t>separately</w:t>
      </w:r>
      <w:r w:rsidRPr="00E82463">
        <w:rPr>
          <w:rFonts w:ascii="Times New Roman" w:hAnsi="Times New Roman"/>
          <w:sz w:val="22"/>
        </w:rPr>
        <w:t xml:space="preserve"> in a sealed envelope. The envelope should then be placed in another single sealed envelope/package, unless their volume requires a separate submission for each lot.</w:t>
      </w:r>
    </w:p>
    <w:p w:rsidR="0047783A" w:rsidRPr="00E82463" w:rsidRDefault="0047783A" w:rsidP="00A4424B">
      <w:pPr>
        <w:pStyle w:val="1"/>
      </w:pPr>
      <w:bookmarkStart w:id="20" w:name="_Toc42488080"/>
      <w:r w:rsidRPr="00E82463">
        <w:t>Content of tenders</w:t>
      </w:r>
      <w:bookmarkEnd w:id="20"/>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Default="0047783A" w:rsidP="00C348C0">
      <w:pPr>
        <w:pStyle w:val="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w:t>
      </w:r>
      <w:r w:rsidR="00B569B1" w:rsidRPr="00E82463">
        <w:rPr>
          <w:rFonts w:ascii="Times New Roman" w:hAnsi="Times New Roman"/>
          <w:sz w:val="22"/>
          <w:szCs w:val="22"/>
          <w:lang w:val="en-GB"/>
        </w:rPr>
        <w:t>:</w:t>
      </w:r>
    </w:p>
    <w:p w:rsidR="00D77ED1" w:rsidRPr="00D77ED1" w:rsidRDefault="00D77ED1" w:rsidP="00D77ED1">
      <w:pPr>
        <w:numPr>
          <w:ilvl w:val="1"/>
          <w:numId w:val="6"/>
        </w:numPr>
        <w:spacing w:after="0"/>
        <w:rPr>
          <w:rFonts w:ascii="Times New Roman" w:hAnsi="Times New Roman"/>
          <w:sz w:val="22"/>
          <w:szCs w:val="22"/>
        </w:rPr>
      </w:pPr>
      <w:r w:rsidRPr="00D77ED1">
        <w:rPr>
          <w:rFonts w:ascii="Times New Roman" w:hAnsi="Times New Roman"/>
          <w:sz w:val="22"/>
          <w:szCs w:val="22"/>
        </w:rPr>
        <w:t xml:space="preserve">technical proposals related to </w:t>
      </w:r>
      <w:r>
        <w:rPr>
          <w:rFonts w:ascii="Times New Roman" w:hAnsi="Times New Roman"/>
          <w:sz w:val="22"/>
          <w:szCs w:val="22"/>
        </w:rPr>
        <w:t xml:space="preserve">the </w:t>
      </w:r>
      <w:r w:rsidRPr="00D77ED1">
        <w:rPr>
          <w:rFonts w:ascii="Times New Roman" w:hAnsi="Times New Roman"/>
          <w:sz w:val="22"/>
          <w:szCs w:val="22"/>
        </w:rPr>
        <w:t>ancillary services</w:t>
      </w:r>
      <w:r w:rsidRPr="00E82463">
        <w:rPr>
          <w:rFonts w:ascii="Times New Roman" w:hAnsi="Times New Roman"/>
          <w:sz w:val="22"/>
          <w:szCs w:val="22"/>
        </w:rPr>
        <w:t>.</w:t>
      </w:r>
    </w:p>
    <w:p w:rsidR="0047783A" w:rsidRPr="00E82463" w:rsidRDefault="0047783A" w:rsidP="00D77ED1">
      <w:pPr>
        <w:spacing w:before="240"/>
        <w:ind w:left="562"/>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Default="0047783A" w:rsidP="0047783A">
      <w:pPr>
        <w:pStyle w:val="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 xml:space="preserve">A financial offer calculated on a </w:t>
      </w:r>
      <w:r w:rsidRPr="00745DCA">
        <w:rPr>
          <w:rFonts w:ascii="Times New Roman" w:hAnsi="Times New Roman"/>
          <w:sz w:val="22"/>
          <w:szCs w:val="22"/>
          <w:lang w:val="en-GB"/>
        </w:rPr>
        <w:t>DDP</w:t>
      </w:r>
      <w:r w:rsidRPr="00E82463">
        <w:rPr>
          <w:rStyle w:val="af3"/>
          <w:rFonts w:ascii="Times New Roman" w:hAnsi="Times New Roman"/>
        </w:rPr>
        <w:footnoteReference w:id="3"/>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rsidR="00D77ED1" w:rsidRPr="00D77ED1" w:rsidRDefault="00D77ED1" w:rsidP="00D77ED1">
      <w:pPr>
        <w:numPr>
          <w:ilvl w:val="1"/>
          <w:numId w:val="6"/>
        </w:numPr>
        <w:spacing w:after="0"/>
        <w:rPr>
          <w:rFonts w:ascii="Times New Roman" w:hAnsi="Times New Roman"/>
          <w:sz w:val="22"/>
          <w:szCs w:val="22"/>
        </w:rPr>
      </w:pPr>
      <w:r w:rsidRPr="00D77ED1">
        <w:rPr>
          <w:rFonts w:ascii="Times New Roman" w:hAnsi="Times New Roman"/>
          <w:sz w:val="22"/>
          <w:szCs w:val="22"/>
        </w:rPr>
        <w:t xml:space="preserve">financial proposal related </w:t>
      </w:r>
      <w:r>
        <w:rPr>
          <w:rFonts w:ascii="Times New Roman" w:hAnsi="Times New Roman"/>
          <w:sz w:val="22"/>
          <w:szCs w:val="22"/>
        </w:rPr>
        <w:t>to the</w:t>
      </w:r>
      <w:r w:rsidRPr="00D77ED1">
        <w:rPr>
          <w:rFonts w:ascii="Times New Roman" w:hAnsi="Times New Roman"/>
          <w:sz w:val="22"/>
          <w:szCs w:val="22"/>
        </w:rPr>
        <w:t xml:space="preserve"> ancillary services;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5A56C8" w:rsidRDefault="005A56C8" w:rsidP="00AC07D4">
      <w:pPr>
        <w:numPr>
          <w:ilvl w:val="0"/>
          <w:numId w:val="6"/>
        </w:numPr>
        <w:tabs>
          <w:tab w:val="clear" w:pos="1211"/>
          <w:tab w:val="num" w:pos="1134"/>
        </w:tabs>
        <w:ind w:left="1134" w:hanging="567"/>
        <w:jc w:val="both"/>
        <w:rPr>
          <w:rFonts w:ascii="Times New Roman" w:hAnsi="Times New Roman"/>
          <w:sz w:val="22"/>
          <w:szCs w:val="22"/>
        </w:rPr>
      </w:pPr>
      <w:r w:rsidRPr="005A56C8">
        <w:rPr>
          <w:rFonts w:ascii="Times New Roman" w:hAnsi="Times New Roman"/>
          <w:sz w:val="22"/>
          <w:szCs w:val="22"/>
        </w:rPr>
        <w:t>The original, signed tender guarantee, for</w:t>
      </w:r>
      <w:r w:rsidRPr="00E82463">
        <w:rPr>
          <w:rFonts w:ascii="Times New Roman" w:hAnsi="Times New Roman"/>
          <w:sz w:val="22"/>
          <w:szCs w:val="22"/>
        </w:rPr>
        <w:t xml:space="preserve"> </w:t>
      </w:r>
      <w:r>
        <w:rPr>
          <w:rFonts w:ascii="Times New Roman" w:hAnsi="Times New Roman"/>
          <w:sz w:val="22"/>
          <w:szCs w:val="22"/>
        </w:rPr>
        <w:t>400 EUR;</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rsidR="0047783A" w:rsidRPr="00E82463" w:rsidRDefault="0047783A" w:rsidP="005A56C8">
      <w:pPr>
        <w:numPr>
          <w:ilvl w:val="0"/>
          <w:numId w:val="6"/>
        </w:numPr>
        <w:tabs>
          <w:tab w:val="clear" w:pos="1211"/>
        </w:tabs>
        <w:spacing w:before="0" w:after="240"/>
        <w:ind w:left="1170" w:hanging="63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5A56C8">
      <w:pPr>
        <w:numPr>
          <w:ilvl w:val="0"/>
          <w:numId w:val="6"/>
        </w:numPr>
        <w:ind w:hanging="671"/>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0D66C0" w:rsidRPr="00745DCA" w:rsidRDefault="0047783A" w:rsidP="00745DCA">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af0"/>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rsidR="0047783A" w:rsidRPr="00E82463" w:rsidRDefault="0047783A" w:rsidP="00A4424B">
      <w:pPr>
        <w:pStyle w:val="1"/>
      </w:pPr>
      <w:bookmarkStart w:id="21" w:name="_Toc42488081"/>
      <w:r w:rsidRPr="00E82463">
        <w:t>Taxes and other charges</w:t>
      </w:r>
      <w:bookmarkEnd w:id="21"/>
    </w:p>
    <w:p w:rsidR="0047783A" w:rsidRPr="00E82463" w:rsidRDefault="0047783A" w:rsidP="00AC07D4">
      <w:pPr>
        <w:pStyle w:val="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B0086C" w:rsidRPr="00B0086C" w:rsidRDefault="00B0086C" w:rsidP="00B0086C">
      <w:pPr>
        <w:pStyle w:val="2"/>
        <w:keepNext w:val="0"/>
        <w:tabs>
          <w:tab w:val="num" w:pos="567"/>
        </w:tabs>
        <w:spacing w:before="0"/>
        <w:ind w:left="567"/>
        <w:rPr>
          <w:rFonts w:ascii="Times New Roman" w:hAnsi="Times New Roman"/>
          <w:sz w:val="22"/>
          <w:u w:val="single"/>
        </w:rPr>
      </w:pPr>
      <w:r w:rsidRPr="00B0086C">
        <w:rPr>
          <w:rFonts w:ascii="Times New Roman" w:hAnsi="Times New Roman"/>
          <w:sz w:val="22"/>
          <w:u w:val="single"/>
        </w:rPr>
        <w:t>Exemption of taxes</w:t>
      </w:r>
    </w:p>
    <w:p w:rsidR="00B0086C" w:rsidRPr="00B0086C" w:rsidRDefault="00B0086C" w:rsidP="00B0086C">
      <w:pPr>
        <w:pStyle w:val="2"/>
        <w:tabs>
          <w:tab w:val="num" w:pos="567"/>
        </w:tabs>
        <w:spacing w:before="0"/>
        <w:ind w:left="567"/>
        <w:rPr>
          <w:rFonts w:ascii="Times New Roman" w:hAnsi="Times New Roman"/>
          <w:sz w:val="22"/>
          <w:lang w:val="en-GB"/>
        </w:rPr>
      </w:pPr>
      <w:r w:rsidRPr="00B0086C">
        <w:rPr>
          <w:rFonts w:ascii="Times New Roman" w:hAnsi="Times New Roman"/>
          <w:sz w:val="22"/>
        </w:rPr>
        <w:lastRenderedPageBreak/>
        <w:t xml:space="preserve">VAT exemption </w:t>
      </w:r>
      <w:r w:rsidRPr="00B0086C">
        <w:rPr>
          <w:rFonts w:ascii="Times New Roman" w:hAnsi="Times New Roman"/>
          <w:sz w:val="22"/>
          <w:lang w:val="en-GB"/>
        </w:rPr>
        <w:t>available.</w:t>
      </w:r>
    </w:p>
    <w:p w:rsidR="0047783A" w:rsidRPr="00C348C0" w:rsidRDefault="0047783A" w:rsidP="00A4424B">
      <w:pPr>
        <w:pStyle w:val="1"/>
        <w:rPr>
          <w:lang w:val="en-GB"/>
        </w:rPr>
      </w:pPr>
      <w:bookmarkStart w:id="22" w:name="_Toc42488082"/>
      <w:r w:rsidRPr="00C348C0">
        <w:rPr>
          <w:lang w:val="en-GB"/>
        </w:rPr>
        <w:t>Additional information before the deadline for submission of tenders</w:t>
      </w:r>
      <w:bookmarkEnd w:id="22"/>
    </w:p>
    <w:p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w:t>
      </w:r>
      <w:r w:rsidR="00D77ED1">
        <w:rPr>
          <w:rFonts w:ascii="Times New Roman" w:hAnsi="Times New Roman"/>
          <w:sz w:val="22"/>
        </w:rPr>
        <w:t>1</w:t>
      </w:r>
      <w:r w:rsidR="007011AC">
        <w:rPr>
          <w:rFonts w:ascii="Times New Roman" w:hAnsi="Times New Roman"/>
          <w:sz w:val="22"/>
        </w:rPr>
        <w:t>4</w:t>
      </w:r>
      <w:r w:rsidR="00E01C9B">
        <w:rPr>
          <w:rFonts w:ascii="Times New Roman" w:hAnsi="Times New Roman"/>
          <w:sz w:val="22"/>
        </w:rPr>
        <w:t>.0</w:t>
      </w:r>
      <w:r w:rsidR="00D77ED1">
        <w:rPr>
          <w:rFonts w:ascii="Times New Roman" w:hAnsi="Times New Roman"/>
          <w:sz w:val="22"/>
        </w:rPr>
        <w:t>2</w:t>
      </w:r>
      <w:r w:rsidR="00E01C9B">
        <w:rPr>
          <w:rFonts w:ascii="Times New Roman" w:hAnsi="Times New Roman"/>
          <w:sz w:val="22"/>
        </w:rPr>
        <w:t>.2020</w:t>
      </w:r>
      <w:r w:rsidRPr="00E82463">
        <w:rPr>
          <w:rFonts w:ascii="Times New Roman" w:hAnsi="Times New Roman"/>
          <w:sz w:val="22"/>
        </w:rPr>
        <w:t xml:space="preserve">,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745DCA" w:rsidRPr="00745DCA" w:rsidRDefault="00745DCA" w:rsidP="00587485">
      <w:pPr>
        <w:spacing w:before="0" w:after="0"/>
        <w:ind w:left="357" w:right="357"/>
        <w:jc w:val="center"/>
        <w:rPr>
          <w:rFonts w:ascii="Times New Roman" w:hAnsi="Times New Roman"/>
          <w:b/>
          <w:snapToGrid/>
          <w:sz w:val="22"/>
          <w:szCs w:val="22"/>
          <w:lang w:eastAsia="en-GB"/>
        </w:rPr>
      </w:pPr>
      <w:r w:rsidRPr="00745DCA">
        <w:rPr>
          <w:rFonts w:ascii="Times New Roman" w:hAnsi="Times New Roman"/>
          <w:b/>
          <w:snapToGrid/>
          <w:sz w:val="22"/>
          <w:szCs w:val="22"/>
          <w:lang w:eastAsia="en-GB"/>
        </w:rPr>
        <w:t xml:space="preserve">Municipality of </w:t>
      </w:r>
      <w:proofErr w:type="spellStart"/>
      <w:r w:rsidRPr="00745DCA">
        <w:rPr>
          <w:rFonts w:ascii="Times New Roman" w:hAnsi="Times New Roman"/>
          <w:b/>
          <w:snapToGrid/>
          <w:sz w:val="22"/>
          <w:szCs w:val="22"/>
          <w:lang w:eastAsia="en-GB"/>
        </w:rPr>
        <w:t>Suloglu</w:t>
      </w:r>
      <w:proofErr w:type="spellEnd"/>
    </w:p>
    <w:p w:rsidR="00745DCA" w:rsidRPr="00745DCA" w:rsidRDefault="00745DCA" w:rsidP="00587485">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Address: Merkez </w:t>
      </w:r>
      <w:proofErr w:type="spellStart"/>
      <w:r w:rsidRPr="00745DCA">
        <w:rPr>
          <w:rFonts w:ascii="Times New Roman" w:hAnsi="Times New Roman"/>
          <w:snapToGrid/>
          <w:sz w:val="22"/>
          <w:szCs w:val="22"/>
          <w:lang w:eastAsia="en-GB"/>
        </w:rPr>
        <w:t>Mah</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Kemalbalıkesir</w:t>
      </w:r>
      <w:proofErr w:type="spellEnd"/>
      <w:r w:rsidRPr="00745DCA">
        <w:rPr>
          <w:rFonts w:ascii="Times New Roman" w:hAnsi="Times New Roman"/>
          <w:snapToGrid/>
          <w:sz w:val="22"/>
          <w:szCs w:val="22"/>
          <w:lang w:eastAsia="en-GB"/>
        </w:rPr>
        <w:t xml:space="preserve"> Cad. No.46</w:t>
      </w:r>
    </w:p>
    <w:p w:rsidR="00745DCA" w:rsidRPr="00745DCA" w:rsidRDefault="00745DCA" w:rsidP="00587485">
      <w:pPr>
        <w:spacing w:before="0" w:after="0"/>
        <w:ind w:left="357" w:right="357"/>
        <w:jc w:val="center"/>
        <w:rPr>
          <w:rFonts w:ascii="Times New Roman" w:hAnsi="Times New Roman"/>
          <w:snapToGrid/>
          <w:sz w:val="22"/>
          <w:szCs w:val="22"/>
          <w:lang w:eastAsia="en-GB"/>
        </w:rPr>
      </w:pPr>
      <w:proofErr w:type="spellStart"/>
      <w:r w:rsidRPr="00745DCA">
        <w:rPr>
          <w:rFonts w:ascii="Times New Roman" w:hAnsi="Times New Roman"/>
          <w:snapToGrid/>
          <w:sz w:val="22"/>
          <w:szCs w:val="22"/>
          <w:lang w:eastAsia="en-GB"/>
        </w:rPr>
        <w:t>Suloglu</w:t>
      </w:r>
      <w:proofErr w:type="spellEnd"/>
      <w:r w:rsidRPr="00745DCA">
        <w:rPr>
          <w:rFonts w:ascii="Times New Roman" w:hAnsi="Times New Roman"/>
          <w:snapToGrid/>
          <w:sz w:val="22"/>
          <w:szCs w:val="22"/>
          <w:lang w:eastAsia="en-GB"/>
        </w:rPr>
        <w:t>, Edirne, Turkey</w:t>
      </w:r>
    </w:p>
    <w:p w:rsidR="00745DCA" w:rsidRPr="00745DCA" w:rsidRDefault="00745DCA" w:rsidP="00587485">
      <w:pPr>
        <w:spacing w:before="0" w:after="0"/>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E-mail: </w:t>
      </w:r>
      <w:hyperlink r:id="rId10" w:history="1">
        <w:r w:rsidRPr="00745DCA">
          <w:rPr>
            <w:rFonts w:ascii="Times New Roman" w:hAnsi="Times New Roman"/>
            <w:snapToGrid/>
            <w:color w:val="0000FF"/>
            <w:sz w:val="22"/>
            <w:szCs w:val="22"/>
            <w:u w:val="single"/>
            <w:lang w:eastAsia="en-GB"/>
          </w:rPr>
          <w:t>suloglubelediyesi@outlook.com</w:t>
        </w:r>
      </w:hyperlink>
    </w:p>
    <w:p w:rsidR="00587485" w:rsidRDefault="00745DCA" w:rsidP="00587485">
      <w:pPr>
        <w:pStyle w:val="a9"/>
        <w:ind w:left="357" w:right="357"/>
        <w:jc w:val="center"/>
        <w:rPr>
          <w:rFonts w:ascii="Times New Roman" w:hAnsi="Times New Roman"/>
          <w:snapToGrid/>
          <w:sz w:val="22"/>
          <w:szCs w:val="22"/>
          <w:lang w:eastAsia="en-GB"/>
        </w:rPr>
      </w:pPr>
      <w:r w:rsidRPr="00745DCA">
        <w:rPr>
          <w:rFonts w:ascii="Times New Roman" w:hAnsi="Times New Roman"/>
          <w:snapToGrid/>
          <w:sz w:val="22"/>
          <w:szCs w:val="22"/>
          <w:lang w:eastAsia="en-GB"/>
        </w:rPr>
        <w:t xml:space="preserve">Contact person: Mrs. </w:t>
      </w:r>
      <w:proofErr w:type="spellStart"/>
      <w:r w:rsidRPr="00745DCA">
        <w:rPr>
          <w:rFonts w:ascii="Times New Roman" w:hAnsi="Times New Roman"/>
          <w:snapToGrid/>
          <w:sz w:val="22"/>
          <w:szCs w:val="22"/>
          <w:lang w:eastAsia="en-GB"/>
        </w:rPr>
        <w:t>Nazife</w:t>
      </w:r>
      <w:proofErr w:type="spellEnd"/>
      <w:r w:rsidRPr="00745DCA">
        <w:rPr>
          <w:rFonts w:ascii="Times New Roman" w:hAnsi="Times New Roman"/>
          <w:snapToGrid/>
          <w:sz w:val="22"/>
          <w:szCs w:val="22"/>
          <w:lang w:eastAsia="en-GB"/>
        </w:rPr>
        <w:t xml:space="preserve"> </w:t>
      </w:r>
      <w:proofErr w:type="spellStart"/>
      <w:r w:rsidRPr="00745DCA">
        <w:rPr>
          <w:rFonts w:ascii="Times New Roman" w:hAnsi="Times New Roman"/>
          <w:snapToGrid/>
          <w:sz w:val="22"/>
          <w:szCs w:val="22"/>
          <w:lang w:eastAsia="en-GB"/>
        </w:rPr>
        <w:t>Ahmedova</w:t>
      </w:r>
      <w:proofErr w:type="spellEnd"/>
    </w:p>
    <w:p w:rsidR="0047783A" w:rsidRPr="00E82463" w:rsidRDefault="0047783A" w:rsidP="00745DCA">
      <w:pPr>
        <w:pStyle w:val="a9"/>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szCs w:val="22"/>
        </w:rPr>
        <w:t xml:space="preserve">Any clarification of the tender dossier will be </w:t>
      </w:r>
      <w:r w:rsidR="00587485">
        <w:rPr>
          <w:rFonts w:ascii="Times New Roman" w:hAnsi="Times New Roman"/>
          <w:sz w:val="22"/>
          <w:szCs w:val="22"/>
        </w:rPr>
        <w:t>sent to all invited tenderers</w:t>
      </w:r>
      <w:r w:rsidRPr="00E82463">
        <w:rPr>
          <w:rFonts w:ascii="Times New Roman" w:hAnsi="Times New Roman"/>
          <w:sz w:val="22"/>
        </w:rPr>
        <w:t xml:space="preserve"> at the latest </w:t>
      </w:r>
      <w:r w:rsidR="00E01C9B">
        <w:rPr>
          <w:rFonts w:ascii="Times New Roman" w:hAnsi="Times New Roman"/>
          <w:sz w:val="22"/>
        </w:rPr>
        <w:t xml:space="preserve">until </w:t>
      </w:r>
      <w:r w:rsidR="007011AC">
        <w:rPr>
          <w:rFonts w:ascii="Times New Roman" w:hAnsi="Times New Roman"/>
          <w:sz w:val="22"/>
        </w:rPr>
        <w:t>24</w:t>
      </w:r>
      <w:r w:rsidR="00E01C9B">
        <w:rPr>
          <w:rFonts w:ascii="Times New Roman" w:hAnsi="Times New Roman"/>
          <w:sz w:val="22"/>
        </w:rPr>
        <w:t>.0</w:t>
      </w:r>
      <w:r w:rsidR="00D77ED1">
        <w:rPr>
          <w:rFonts w:ascii="Times New Roman" w:hAnsi="Times New Roman"/>
          <w:sz w:val="22"/>
        </w:rPr>
        <w:t>2</w:t>
      </w:r>
      <w:r w:rsidR="00E01C9B">
        <w:rPr>
          <w:rFonts w:ascii="Times New Roman" w:hAnsi="Times New Roman"/>
          <w:sz w:val="22"/>
        </w:rPr>
        <w:t>.2020</w:t>
      </w:r>
      <w:r w:rsidRPr="00E82463">
        <w:rPr>
          <w:rFonts w:ascii="Times New Roman" w:hAnsi="Times New Roman"/>
          <w:sz w:val="22"/>
        </w:rPr>
        <w:t>.</w:t>
      </w:r>
    </w:p>
    <w:p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1"/>
      </w:pPr>
      <w:bookmarkStart w:id="23" w:name="_Toc42488083"/>
      <w:r w:rsidRPr="00E82463">
        <w:t>Clarification meeting / site visit</w:t>
      </w:r>
      <w:bookmarkEnd w:id="23"/>
    </w:p>
    <w:p w:rsidR="0047783A" w:rsidRPr="00587485" w:rsidRDefault="0047783A" w:rsidP="00AC07D4">
      <w:pPr>
        <w:pStyle w:val="a9"/>
        <w:ind w:left="567" w:hanging="567"/>
        <w:rPr>
          <w:rFonts w:ascii="Times New Roman" w:hAnsi="Times New Roman"/>
          <w:sz w:val="22"/>
          <w:szCs w:val="22"/>
        </w:rPr>
      </w:pPr>
      <w:r w:rsidRPr="00587485">
        <w:rPr>
          <w:rFonts w:ascii="Times New Roman" w:hAnsi="Times New Roman"/>
          <w:sz w:val="22"/>
          <w:szCs w:val="22"/>
        </w:rPr>
        <w:t>14.1</w:t>
      </w:r>
      <w:r w:rsidRPr="00587485">
        <w:rPr>
          <w:rFonts w:ascii="Times New Roman" w:hAnsi="Times New Roman"/>
          <w:sz w:val="22"/>
          <w:szCs w:val="22"/>
        </w:rPr>
        <w:tab/>
        <w:t>No clarification meeting / site visit planned. Visits by individual prospective tenderers during the tend</w:t>
      </w:r>
      <w:r w:rsidR="00587485" w:rsidRPr="00587485">
        <w:rPr>
          <w:rFonts w:ascii="Times New Roman" w:hAnsi="Times New Roman"/>
          <w:sz w:val="22"/>
          <w:szCs w:val="22"/>
        </w:rPr>
        <w:t xml:space="preserve">er period cannot be organised. </w:t>
      </w:r>
    </w:p>
    <w:p w:rsidR="0047783A" w:rsidRPr="00E82463" w:rsidRDefault="0047783A" w:rsidP="00A4424B">
      <w:pPr>
        <w:pStyle w:val="1"/>
      </w:pPr>
      <w:bookmarkStart w:id="24" w:name="_Toc42488084"/>
      <w:r w:rsidRPr="00E82463">
        <w:t>Alteration or withdrawal of tenders</w:t>
      </w:r>
      <w:bookmarkEnd w:id="24"/>
    </w:p>
    <w:p w:rsidR="0047783A" w:rsidRPr="00E82463" w:rsidRDefault="0047783A" w:rsidP="0047783A">
      <w:pPr>
        <w:pStyle w:val="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1"/>
      </w:pPr>
      <w:bookmarkStart w:id="25" w:name="_Toc42488085"/>
      <w:r w:rsidRPr="00E82463">
        <w:t>Costs of preparing tenders</w:t>
      </w:r>
      <w:bookmarkEnd w:id="25"/>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1"/>
      </w:pPr>
      <w:bookmarkStart w:id="26" w:name="_Toc42488086"/>
      <w:r w:rsidRPr="00E82463">
        <w:lastRenderedPageBreak/>
        <w:t>Ownership of tenders</w:t>
      </w:r>
      <w:bookmarkEnd w:id="26"/>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47783A" w:rsidP="00A4424B">
      <w:pPr>
        <w:pStyle w:val="1"/>
      </w:pPr>
      <w:bookmarkStart w:id="27" w:name="_Toc42488087"/>
      <w:r w:rsidRPr="00E82463">
        <w:t>Joint venture or consortium</w:t>
      </w:r>
      <w:bookmarkEnd w:id="27"/>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82463" w:rsidRDefault="0047783A" w:rsidP="00A4424B">
      <w:pPr>
        <w:pStyle w:val="1"/>
      </w:pPr>
      <w:bookmarkStart w:id="28" w:name="_Toc42488088"/>
      <w:r w:rsidRPr="00E82463">
        <w:t>Opening of tenders</w:t>
      </w:r>
      <w:bookmarkEnd w:id="28"/>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whether the tenders are complete, whether the required documents have been properly included and whether the tenders are generally in order.</w:t>
      </w:r>
    </w:p>
    <w:p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7011AC">
        <w:rPr>
          <w:rFonts w:ascii="Times New Roman" w:hAnsi="Times New Roman"/>
          <w:sz w:val="22"/>
          <w:lang w:val="en-GB"/>
        </w:rPr>
        <w:t>13</w:t>
      </w:r>
      <w:r w:rsidR="00E01C9B">
        <w:rPr>
          <w:rFonts w:ascii="Times New Roman" w:hAnsi="Times New Roman"/>
          <w:sz w:val="22"/>
          <w:lang w:val="en-GB"/>
        </w:rPr>
        <w:t>.0</w:t>
      </w:r>
      <w:r w:rsidR="00D77ED1">
        <w:rPr>
          <w:rFonts w:ascii="Times New Roman" w:hAnsi="Times New Roman"/>
          <w:sz w:val="22"/>
          <w:lang w:val="en-GB"/>
        </w:rPr>
        <w:t>3</w:t>
      </w:r>
      <w:r w:rsidR="00E01C9B">
        <w:rPr>
          <w:rFonts w:ascii="Times New Roman" w:hAnsi="Times New Roman"/>
          <w:sz w:val="22"/>
          <w:lang w:val="en-GB"/>
        </w:rPr>
        <w:t>.2020 at 11.00 h</w:t>
      </w:r>
      <w:r w:rsidRPr="00E82463">
        <w:rPr>
          <w:rFonts w:ascii="Times New Roman" w:hAnsi="Times New Roman"/>
          <w:sz w:val="22"/>
          <w:lang w:val="en-GB"/>
        </w:rPr>
        <w:t xml:space="preserve"> at </w:t>
      </w:r>
      <w:r w:rsidR="00C92961">
        <w:rPr>
          <w:rFonts w:ascii="Times New Roman" w:hAnsi="Times New Roman"/>
          <w:sz w:val="22"/>
          <w:lang w:val="en-GB"/>
        </w:rPr>
        <w:t xml:space="preserve">the premises of the Municipality of </w:t>
      </w:r>
      <w:proofErr w:type="spellStart"/>
      <w:r w:rsidR="00C92961">
        <w:rPr>
          <w:rFonts w:ascii="Times New Roman" w:hAnsi="Times New Roman"/>
          <w:sz w:val="22"/>
          <w:lang w:val="en-GB"/>
        </w:rPr>
        <w:t>Suloglu</w:t>
      </w:r>
      <w:proofErr w:type="spellEnd"/>
      <w:r w:rsidR="00C92961">
        <w:rPr>
          <w:rFonts w:ascii="Times New Roman" w:hAnsi="Times New Roman"/>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00C92961">
        <w:rPr>
          <w:rFonts w:ascii="Times New Roman" w:hAnsi="Times New Roman"/>
          <w:sz w:val="22"/>
          <w:lang w:val="en-GB"/>
        </w:rPr>
        <w:t>committee</w:t>
      </w:r>
      <w:r w:rsidRPr="00E82463">
        <w:rPr>
          <w:rFonts w:ascii="Times New Roman" w:hAnsi="Times New Roman"/>
          <w:sz w:val="22"/>
          <w:lang w:val="en-GB"/>
        </w:rPr>
        <w:t>. The committee will draw up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1"/>
      </w:pPr>
      <w:bookmarkStart w:id="29" w:name="_Toc42488089"/>
      <w:r w:rsidRPr="00E82463">
        <w:t>Evaluation of tenders</w:t>
      </w:r>
      <w:bookmarkEnd w:id="29"/>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30"/>
    <w:p w:rsidR="0047783A" w:rsidRPr="00E82463" w:rsidRDefault="0047783A" w:rsidP="0047783A">
      <w:pPr>
        <w:pStyle w:val="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lastRenderedPageBreak/>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7B3943">
        <w:rPr>
          <w:rFonts w:ascii="Times New Roman" w:hAnsi="Times New Roman"/>
          <w:sz w:val="22"/>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w:t>
      </w:r>
    </w:p>
    <w:p w:rsidR="0047783A" w:rsidRPr="00C348C0" w:rsidRDefault="00EA1ADC" w:rsidP="00C348C0">
      <w:pPr>
        <w:pStyle w:val="1"/>
        <w:numPr>
          <w:ilvl w:val="0"/>
          <w:numId w:val="0"/>
        </w:numPr>
        <w:rPr>
          <w:lang w:val="en-GB"/>
        </w:rPr>
      </w:pPr>
      <w:bookmarkStart w:id="31" w:name="_Toc41467298"/>
      <w:bookmarkStart w:id="32" w:name="_Toc42488090"/>
      <w:r>
        <w:rPr>
          <w:lang w:val="en-GB"/>
        </w:rPr>
        <w:t>22.</w:t>
      </w:r>
      <w:r>
        <w:rPr>
          <w:lang w:val="en-GB"/>
        </w:rPr>
        <w:tab/>
      </w:r>
      <w:r w:rsidR="0047783A" w:rsidRPr="00C348C0">
        <w:rPr>
          <w:lang w:val="en-GB"/>
        </w:rPr>
        <w:t>Signature of the contract and performance guarantee</w:t>
      </w:r>
      <w:bookmarkStart w:id="33" w:name="_Ref500418776"/>
      <w:bookmarkEnd w:id="31"/>
      <w:bookmarkEnd w:id="32"/>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654F04" w:rsidRPr="00654F04" w:rsidRDefault="00654F04" w:rsidP="00654F04">
      <w:pPr>
        <w:ind w:left="567" w:firstLine="33"/>
        <w:jc w:val="both"/>
        <w:rPr>
          <w:rFonts w:ascii="Times New Roman" w:hAnsi="Times New Roman"/>
          <w:color w:val="000000"/>
          <w:sz w:val="22"/>
          <w:szCs w:val="22"/>
        </w:rPr>
      </w:pPr>
      <w:r w:rsidRPr="002803FF">
        <w:rPr>
          <w:rFonts w:ascii="Times New Roman" w:hAnsi="Times New Roman"/>
          <w:color w:val="000000"/>
          <w:sz w:val="22"/>
          <w:szCs w:val="22"/>
        </w:rPr>
        <w:lastRenderedPageBreak/>
        <w:t>No documentary evidence of the selection criteria in point 16 of the con</w:t>
      </w:r>
      <w:r w:rsidR="002803FF" w:rsidRPr="002803FF">
        <w:rPr>
          <w:rFonts w:ascii="Times New Roman" w:hAnsi="Times New Roman"/>
          <w:color w:val="000000"/>
          <w:sz w:val="22"/>
          <w:szCs w:val="22"/>
        </w:rPr>
        <w:t>tract notice shall be submitted.</w:t>
      </w: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3"/>
    <w:p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D77ED1" w:rsidRPr="00E82463">
        <w:rPr>
          <w:rFonts w:ascii="Times New Roman" w:hAnsi="Times New Roman"/>
          <w:sz w:val="22"/>
        </w:rPr>
        <w:t xml:space="preserve">The performance guarantee referred to in the </w:t>
      </w:r>
      <w:r w:rsidR="00D77ED1">
        <w:rPr>
          <w:rFonts w:ascii="Times New Roman" w:hAnsi="Times New Roman"/>
          <w:sz w:val="22"/>
        </w:rPr>
        <w:t>g</w:t>
      </w:r>
      <w:r w:rsidR="00D77ED1" w:rsidRPr="00E82463">
        <w:rPr>
          <w:rFonts w:ascii="Times New Roman" w:hAnsi="Times New Roman"/>
          <w:sz w:val="22"/>
        </w:rPr>
        <w:t xml:space="preserve">eneral </w:t>
      </w:r>
      <w:r w:rsidR="00D77ED1">
        <w:rPr>
          <w:rFonts w:ascii="Times New Roman" w:hAnsi="Times New Roman"/>
          <w:sz w:val="22"/>
        </w:rPr>
        <w:t>c</w:t>
      </w:r>
      <w:r w:rsidR="00D77ED1" w:rsidRPr="00E82463">
        <w:rPr>
          <w:rFonts w:ascii="Times New Roman" w:hAnsi="Times New Roman"/>
          <w:sz w:val="22"/>
        </w:rPr>
        <w:t xml:space="preserve">onditions is set at </w:t>
      </w:r>
      <w:r w:rsidR="00D77ED1" w:rsidRPr="005A56C8">
        <w:rPr>
          <w:rFonts w:ascii="Times New Roman" w:hAnsi="Times New Roman"/>
          <w:sz w:val="22"/>
        </w:rPr>
        <w:t>6</w:t>
      </w:r>
      <w:r w:rsidR="00D77ED1" w:rsidRPr="005A56C8">
        <w:rPr>
          <w:rFonts w:ascii="Times New Roman" w:hAnsi="Times New Roman"/>
          <w:w w:val="50"/>
          <w:sz w:val="22"/>
        </w:rPr>
        <w:t> </w:t>
      </w:r>
      <w:r w:rsidR="005A56C8">
        <w:rPr>
          <w:rFonts w:ascii="Times New Roman" w:hAnsi="Times New Roman"/>
          <w:sz w:val="22"/>
        </w:rPr>
        <w:t xml:space="preserve">% </w:t>
      </w:r>
      <w:r w:rsidR="00D77ED1"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D77ED1">
        <w:rPr>
          <w:rFonts w:ascii="Times New Roman" w:hAnsi="Times New Roman"/>
          <w:sz w:val="22"/>
        </w:rPr>
        <w:t>c</w:t>
      </w:r>
      <w:r w:rsidR="00D77ED1" w:rsidRPr="00E82463">
        <w:rPr>
          <w:rFonts w:ascii="Times New Roman" w:hAnsi="Times New Roman"/>
          <w:sz w:val="22"/>
        </w:rPr>
        <w:t xml:space="preserve">ontracting </w:t>
      </w:r>
      <w:r w:rsidR="00D77ED1">
        <w:rPr>
          <w:rFonts w:ascii="Times New Roman" w:hAnsi="Times New Roman"/>
          <w:sz w:val="22"/>
        </w:rPr>
        <w:t>a</w:t>
      </w:r>
      <w:r w:rsidR="00D77ED1" w:rsidRPr="00E82463">
        <w:rPr>
          <w:rFonts w:ascii="Times New Roman" w:hAnsi="Times New Roman"/>
          <w:sz w:val="22"/>
        </w:rPr>
        <w:t>uthority, except for the proportion assigned to after-sales service.</w:t>
      </w:r>
    </w:p>
    <w:p w:rsidR="0047783A" w:rsidRPr="00C348C0" w:rsidRDefault="00EA1ADC" w:rsidP="00C348C0">
      <w:pPr>
        <w:pStyle w:val="1"/>
        <w:numPr>
          <w:ilvl w:val="0"/>
          <w:numId w:val="0"/>
        </w:numPr>
        <w:rPr>
          <w:lang w:val="en-GB"/>
        </w:rPr>
      </w:pPr>
      <w:bookmarkStart w:id="34" w:name="_Toc41467299"/>
      <w:bookmarkStart w:id="35" w:name="_Toc42488091"/>
      <w:r w:rsidRPr="00C348C0">
        <w:rPr>
          <w:lang w:val="en-GB"/>
        </w:rPr>
        <w:t>23.</w:t>
      </w:r>
      <w:r w:rsidRPr="00C348C0">
        <w:rPr>
          <w:lang w:val="en-GB"/>
        </w:rPr>
        <w:tab/>
      </w:r>
      <w:r w:rsidR="0047783A" w:rsidRPr="00C348C0">
        <w:rPr>
          <w:lang w:val="en-GB"/>
        </w:rPr>
        <w:t>Tender guarantee</w:t>
      </w:r>
      <w:bookmarkEnd w:id="34"/>
      <w:bookmarkEnd w:id="35"/>
    </w:p>
    <w:p w:rsidR="008718AA" w:rsidRPr="00E82463" w:rsidRDefault="005A56C8" w:rsidP="000D66C0">
      <w:pPr>
        <w:ind w:left="567"/>
        <w:jc w:val="both"/>
        <w:outlineLvl w:val="0"/>
        <w:rPr>
          <w:rFonts w:ascii="Times New Roman" w:hAnsi="Times New Roman"/>
          <w:sz w:val="22"/>
        </w:rPr>
      </w:pPr>
      <w:r w:rsidRPr="005A56C8">
        <w:rPr>
          <w:rFonts w:ascii="Times New Roman" w:hAnsi="Times New Roman"/>
          <w:sz w:val="22"/>
        </w:rPr>
        <w:t xml:space="preserve">The tender guarantee referred to in Article 11 above is set at </w:t>
      </w:r>
      <w:r>
        <w:rPr>
          <w:rFonts w:ascii="Times New Roman" w:hAnsi="Times New Roman"/>
          <w:b/>
          <w:sz w:val="22"/>
        </w:rPr>
        <w:t xml:space="preserve">400 euro </w:t>
      </w:r>
      <w:r w:rsidRPr="005A56C8">
        <w:rPr>
          <w:rFonts w:ascii="Times New Roman" w:hAnsi="Times New Roman"/>
          <w:sz w:val="22"/>
        </w:rPr>
        <w:t>and must be presented in the form specified in the annex to the tender dossier. It must remain valid for 45 days beyond the period of validity of the tender. Tender guarantees provided by tenderers who have not been selected will be returned together with the information letter that the tenderer has been unsuccessful. The tender guarantee of the successful tenderer will be released on signing of the contract, once the performance guarantee has been submitted</w:t>
      </w:r>
      <w:r>
        <w:rPr>
          <w:rFonts w:ascii="Times New Roman" w:hAnsi="Times New Roman"/>
          <w:sz w:val="22"/>
        </w:rPr>
        <w:t>.</w:t>
      </w:r>
    </w:p>
    <w:p w:rsidR="0047783A" w:rsidRPr="00C348C0" w:rsidRDefault="00EA1ADC" w:rsidP="00C348C0">
      <w:pPr>
        <w:pStyle w:val="1"/>
        <w:numPr>
          <w:ilvl w:val="0"/>
          <w:numId w:val="0"/>
        </w:numPr>
        <w:rPr>
          <w:lang w:val="en-GB"/>
        </w:rPr>
      </w:pPr>
      <w:bookmarkStart w:id="36" w:name="_Toc41467300"/>
      <w:bookmarkStart w:id="37" w:name="_Toc42488092"/>
      <w:r w:rsidRPr="00C348C0">
        <w:rPr>
          <w:lang w:val="en-GB"/>
        </w:rPr>
        <w:t xml:space="preserve">24. </w:t>
      </w:r>
      <w:r w:rsidR="0047783A" w:rsidRPr="00C348C0">
        <w:rPr>
          <w:lang w:val="en-GB"/>
        </w:rPr>
        <w:t>Ethics clauses</w:t>
      </w:r>
      <w:bookmarkEnd w:id="36"/>
      <w:bookmarkEnd w:id="37"/>
      <w:r w:rsidR="00442FF2">
        <w:rPr>
          <w:lang w:val="en-GB"/>
        </w:rPr>
        <w:t xml:space="preserve"> and code of conduct</w:t>
      </w:r>
    </w:p>
    <w:p w:rsidR="00442FF2"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w:t>
      </w:r>
      <w:r w:rsidRPr="00C348C0">
        <w:rPr>
          <w:rFonts w:ascii="Times New Roman" w:hAnsi="Times New Roman"/>
          <w:sz w:val="22"/>
          <w:szCs w:val="22"/>
        </w:rPr>
        <w:lastRenderedPageBreak/>
        <w:t>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Default="0047783A" w:rsidP="00442FF2">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7783A" w:rsidRPr="00C348C0" w:rsidRDefault="00EA1ADC" w:rsidP="00C348C0">
      <w:pPr>
        <w:pStyle w:val="1"/>
        <w:numPr>
          <w:ilvl w:val="0"/>
          <w:numId w:val="0"/>
        </w:numPr>
        <w:rPr>
          <w:lang w:val="en-GB"/>
        </w:rPr>
      </w:pPr>
      <w:bookmarkStart w:id="38" w:name="_Toc42488093"/>
      <w:r w:rsidRPr="00C348C0">
        <w:rPr>
          <w:lang w:val="en-GB"/>
        </w:rPr>
        <w:t>25.</w:t>
      </w:r>
      <w:r w:rsidRPr="00C348C0">
        <w:rPr>
          <w:lang w:val="en-GB"/>
        </w:rPr>
        <w:tab/>
      </w:r>
      <w:r w:rsidR="0047783A" w:rsidRPr="00C348C0">
        <w:rPr>
          <w:lang w:val="en-GB"/>
        </w:rPr>
        <w:t>Cancellation of the tender procedure</w:t>
      </w:r>
      <w:bookmarkEnd w:id="38"/>
    </w:p>
    <w:p w:rsidR="0047783A" w:rsidRPr="00E82463" w:rsidRDefault="0047783A" w:rsidP="0047783A">
      <w:pPr>
        <w:pStyle w:val="a9"/>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a9"/>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a7"/>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a7"/>
        <w:numPr>
          <w:ilvl w:val="0"/>
          <w:numId w:val="21"/>
        </w:numPr>
        <w:tabs>
          <w:tab w:val="left" w:pos="1134"/>
        </w:tabs>
        <w:spacing w:before="120"/>
        <w:ind w:left="1134"/>
        <w:rPr>
          <w:sz w:val="22"/>
        </w:rPr>
      </w:pPr>
      <w:r w:rsidRPr="00E82463">
        <w:rPr>
          <w:sz w:val="22"/>
        </w:rPr>
        <w:lastRenderedPageBreak/>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a7"/>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a7"/>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24"/>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24"/>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rsidR="00A50D37" w:rsidRPr="002803FF" w:rsidRDefault="00A50D37" w:rsidP="00A50D37">
      <w:pPr>
        <w:ind w:left="-120"/>
        <w:jc w:val="both"/>
        <w:rPr>
          <w:rFonts w:ascii="Times New Roman" w:hAnsi="Times New Roman"/>
          <w:sz w:val="22"/>
          <w:szCs w:val="22"/>
        </w:rPr>
      </w:pPr>
      <w:r w:rsidRPr="002803F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FC6A15" w:rsidRDefault="00A50D37" w:rsidP="00A50D37">
      <w:pPr>
        <w:ind w:left="-120"/>
        <w:jc w:val="both"/>
        <w:rPr>
          <w:rFonts w:ascii="Times New Roman" w:hAnsi="Times New Roman"/>
          <w:sz w:val="22"/>
          <w:szCs w:val="22"/>
        </w:rPr>
      </w:pPr>
      <w:r w:rsidRPr="002803FF">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rsidR="0047783A" w:rsidRPr="00C348C0" w:rsidRDefault="00EA1ADC" w:rsidP="00C348C0">
      <w:pPr>
        <w:pStyle w:val="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rsidR="00130EF1" w:rsidRPr="00E82463" w:rsidRDefault="0047783A" w:rsidP="009423FB">
      <w:pPr>
        <w:pStyle w:val="a9"/>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1"/>
      <w:footerReference w:type="even" r:id="rId12"/>
      <w:footerReference w:type="default"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3F05" w:rsidRPr="006A5F84" w:rsidRDefault="00B83F05">
      <w:r w:rsidRPr="006A5F84">
        <w:separator/>
      </w:r>
    </w:p>
  </w:endnote>
  <w:endnote w:type="continuationSeparator" w:id="0">
    <w:p w:rsidR="00B83F05" w:rsidRPr="006A5F84" w:rsidRDefault="00B83F0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Default="00A77708"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rsidR="00A77708" w:rsidRDefault="00A77708"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9423FB" w:rsidRDefault="00FC6A15" w:rsidP="009423FB">
    <w:pPr>
      <w:pStyle w:val="ad"/>
      <w:tabs>
        <w:tab w:val="clear" w:pos="4320"/>
        <w:tab w:val="clear" w:pos="8640"/>
        <w:tab w:val="right" w:pos="8647"/>
      </w:tabs>
      <w:spacing w:after="0"/>
      <w:ind w:right="6"/>
      <w:rPr>
        <w:rStyle w:val="af"/>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af"/>
        <w:rFonts w:ascii="Times New Roman" w:hAnsi="Times New Roman"/>
        <w:sz w:val="18"/>
        <w:szCs w:val="18"/>
      </w:rPr>
      <w:t xml:space="preserve">Page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PAGE </w:instrText>
    </w:r>
    <w:r w:rsidR="00A77708" w:rsidRPr="009423FB">
      <w:rPr>
        <w:rStyle w:val="af"/>
        <w:rFonts w:ascii="Times New Roman" w:hAnsi="Times New Roman"/>
        <w:sz w:val="18"/>
        <w:szCs w:val="18"/>
      </w:rPr>
      <w:fldChar w:fldCharType="separate"/>
    </w:r>
    <w:r w:rsidR="00B0086C">
      <w:rPr>
        <w:rStyle w:val="af"/>
        <w:rFonts w:ascii="Times New Roman" w:hAnsi="Times New Roman"/>
        <w:noProof/>
        <w:sz w:val="18"/>
        <w:szCs w:val="18"/>
      </w:rPr>
      <w:t>14</w:t>
    </w:r>
    <w:r w:rsidR="00A77708" w:rsidRPr="009423FB">
      <w:rPr>
        <w:rStyle w:val="af"/>
        <w:rFonts w:ascii="Times New Roman" w:hAnsi="Times New Roman"/>
        <w:sz w:val="18"/>
        <w:szCs w:val="18"/>
      </w:rPr>
      <w:fldChar w:fldCharType="end"/>
    </w:r>
    <w:r w:rsidR="00A77708" w:rsidRPr="009423FB">
      <w:rPr>
        <w:rStyle w:val="af"/>
        <w:rFonts w:ascii="Times New Roman" w:hAnsi="Times New Roman"/>
        <w:sz w:val="18"/>
        <w:szCs w:val="18"/>
      </w:rPr>
      <w:t xml:space="preserve"> of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NUMPAGES </w:instrText>
    </w:r>
    <w:r w:rsidR="00A77708" w:rsidRPr="009423FB">
      <w:rPr>
        <w:rStyle w:val="af"/>
        <w:rFonts w:ascii="Times New Roman" w:hAnsi="Times New Roman"/>
        <w:sz w:val="18"/>
        <w:szCs w:val="18"/>
      </w:rPr>
      <w:fldChar w:fldCharType="separate"/>
    </w:r>
    <w:r w:rsidR="00B0086C">
      <w:rPr>
        <w:rStyle w:val="af"/>
        <w:rFonts w:ascii="Times New Roman" w:hAnsi="Times New Roman"/>
        <w:noProof/>
        <w:sz w:val="18"/>
        <w:szCs w:val="18"/>
      </w:rPr>
      <w:t>14</w:t>
    </w:r>
    <w:r w:rsidR="00A77708" w:rsidRPr="009423FB">
      <w:rPr>
        <w:rStyle w:val="af"/>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6A5F84" w:rsidRDefault="00A77708" w:rsidP="0047783A">
    <w:pPr>
      <w:pStyle w:val="ad"/>
      <w:framePr w:wrap="around" w:vAnchor="text" w:hAnchor="margin" w:xAlign="right" w:y="1"/>
      <w:rPr>
        <w:rStyle w:val="af"/>
      </w:rPr>
    </w:pPr>
    <w:r w:rsidRPr="006A5F84">
      <w:rPr>
        <w:rStyle w:val="af"/>
      </w:rPr>
      <w:fldChar w:fldCharType="begin"/>
    </w:r>
    <w:r w:rsidRPr="006A5F84">
      <w:rPr>
        <w:rStyle w:val="af"/>
      </w:rPr>
      <w:instrText xml:space="preserve">PAGE  </w:instrText>
    </w:r>
    <w:r w:rsidRPr="006A5F84">
      <w:rPr>
        <w:rStyle w:val="af"/>
      </w:rPr>
      <w:fldChar w:fldCharType="separate"/>
    </w:r>
    <w:r w:rsidRPr="006A5F84">
      <w:rPr>
        <w:rStyle w:val="af"/>
      </w:rPr>
      <w:t>1</w:t>
    </w:r>
    <w:r w:rsidRPr="006A5F84">
      <w:rPr>
        <w:rStyle w:val="af"/>
      </w:rPr>
      <w:fldChar w:fldCharType="end"/>
    </w:r>
  </w:p>
  <w:p w:rsidR="00A77708" w:rsidRPr="006A5F84" w:rsidRDefault="00A77708" w:rsidP="0047783A">
    <w:pPr>
      <w:pStyle w:val="ad"/>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3F05" w:rsidRPr="006A5F84" w:rsidRDefault="00B83F05">
      <w:r w:rsidRPr="006A5F84">
        <w:separator/>
      </w:r>
    </w:p>
  </w:footnote>
  <w:footnote w:type="continuationSeparator" w:id="0">
    <w:p w:rsidR="00B83F05" w:rsidRPr="006A5F84" w:rsidRDefault="00B83F05">
      <w:r w:rsidRPr="006A5F84">
        <w:continuationSeparator/>
      </w:r>
    </w:p>
  </w:footnote>
  <w:footnote w:id="1">
    <w:p w:rsidR="006B5B42" w:rsidRPr="00C348C0" w:rsidRDefault="006B5B42">
      <w:pPr>
        <w:pStyle w:val="af1"/>
        <w:rPr>
          <w:lang w:val="en-GB"/>
        </w:rPr>
      </w:pPr>
      <w:r>
        <w:rPr>
          <w:rStyle w:val="af3"/>
        </w:rPr>
        <w:footnoteRef/>
      </w:r>
      <w:r w:rsidRPr="00C348C0">
        <w:rPr>
          <w:lang w:val="en-GB"/>
        </w:rPr>
        <w:t xml:space="preserve"> </w:t>
      </w:r>
      <w:r>
        <w:rPr>
          <w:lang w:val="en-GB"/>
        </w:rPr>
        <w:t>See PRAG Section 2.6.10.1.3 A)</w:t>
      </w:r>
    </w:p>
  </w:footnote>
  <w:footnote w:id="2">
    <w:p w:rsidR="00803383" w:rsidRPr="00C348C0" w:rsidRDefault="00803383">
      <w:pPr>
        <w:pStyle w:val="af1"/>
        <w:rPr>
          <w:lang w:val="en-GB"/>
        </w:rPr>
      </w:pPr>
      <w:r>
        <w:rPr>
          <w:rStyle w:val="af3"/>
        </w:rPr>
        <w:footnoteRef/>
      </w:r>
      <w:r w:rsidRPr="00C348C0">
        <w:rPr>
          <w:lang w:val="en-GB"/>
        </w:rPr>
        <w:t xml:space="preserve"> It is recommended to use registered mail in case the postmark would not be readable</w:t>
      </w:r>
    </w:p>
  </w:footnote>
  <w:footnote w:id="3">
    <w:p w:rsidR="00A77708" w:rsidRPr="00C348C0" w:rsidRDefault="00A77708" w:rsidP="00EB295F">
      <w:pPr>
        <w:pStyle w:val="af1"/>
        <w:rPr>
          <w:lang w:val="en-GB"/>
        </w:rPr>
      </w:pPr>
      <w:r w:rsidRPr="006A5F84">
        <w:rPr>
          <w:rStyle w:val="af3"/>
          <w:lang w:val="en-GB"/>
        </w:rPr>
        <w:footnoteRef/>
      </w:r>
      <w:r w:rsidR="005F1EC7" w:rsidRPr="00C348C0">
        <w:rPr>
          <w:lang w:val="en-GB"/>
        </w:rPr>
        <w:t xml:space="preserve"> </w:t>
      </w:r>
      <w:r w:rsidR="00745DCA" w:rsidRPr="00745DCA">
        <w:rPr>
          <w:lang w:val="en-GB"/>
        </w:rPr>
        <w:t>DDP (Delivered Duty Paid)</w:t>
      </w:r>
      <w:r w:rsidRPr="00C348C0">
        <w:rPr>
          <w:lang w:val="en-GB"/>
        </w:rPr>
        <w:t xml:space="preserve"> — Incoterms 2010 International Chamber of Commerce </w:t>
      </w:r>
      <w:hyperlink r:id="rId1" w:history="1">
        <w:r w:rsidR="00E82463" w:rsidRPr="00FC1D90">
          <w:rPr>
            <w:rStyle w:val="af0"/>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52265F" w:rsidRPr="008B1ADB" w:rsidTr="0090267D">
      <w:trPr>
        <w:jc w:val="center"/>
      </w:trPr>
      <w:tc>
        <w:tcPr>
          <w:tcW w:w="2900" w:type="dxa"/>
          <w:shd w:val="clear" w:color="auto" w:fill="auto"/>
        </w:tcPr>
        <w:p w:rsidR="0052265F" w:rsidRPr="008B1ADB" w:rsidRDefault="0052265F" w:rsidP="0090267D">
          <w:pPr>
            <w:rPr>
              <w:rFonts w:ascii="Calibri" w:hAnsi="Calibri"/>
            </w:rPr>
          </w:pPr>
          <w:r w:rsidRPr="008B1ADB">
            <w:rPr>
              <w:rFonts w:ascii="Calibri" w:hAnsi="Calibri"/>
              <w:noProof/>
              <w:lang w:val="bg-BG" w:eastAsia="bg-BG"/>
            </w:rPr>
            <w:drawing>
              <wp:inline distT="0" distB="0" distL="0" distR="0" wp14:anchorId="60E3DDA2" wp14:editId="20BA8B56">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52265F" w:rsidRPr="0052265F" w:rsidRDefault="0052265F" w:rsidP="0090267D">
          <w:pPr>
            <w:jc w:val="center"/>
            <w:rPr>
              <w:rFonts w:ascii="Times New Roman" w:hAnsi="Times New Roman"/>
              <w:i/>
              <w:noProof/>
            </w:rPr>
          </w:pPr>
          <w:r w:rsidRPr="0052265F">
            <w:rPr>
              <w:rFonts w:ascii="Times New Roman" w:hAnsi="Times New Roman"/>
              <w:i/>
              <w:noProof/>
            </w:rPr>
            <w:t xml:space="preserve">Project </w:t>
          </w:r>
          <w:bookmarkStart w:id="39" w:name="_Hlk22136619"/>
          <w:r w:rsidRPr="0052265F">
            <w:rPr>
              <w:rFonts w:ascii="Times New Roman" w:hAnsi="Times New Roman"/>
              <w:i/>
              <w:noProof/>
            </w:rPr>
            <w:t>„Suloglu and Sozopol – Informed, Trained, Equipped“</w:t>
          </w:r>
        </w:p>
        <w:bookmarkEnd w:id="39"/>
        <w:p w:rsidR="0052265F" w:rsidRPr="002971AA" w:rsidRDefault="0052265F" w:rsidP="0090267D">
          <w:pPr>
            <w:jc w:val="center"/>
            <w:rPr>
              <w:i/>
              <w:noProof/>
            </w:rPr>
          </w:pPr>
        </w:p>
      </w:tc>
      <w:tc>
        <w:tcPr>
          <w:tcW w:w="0" w:type="auto"/>
          <w:vAlign w:val="bottom"/>
        </w:tcPr>
        <w:p w:rsidR="0052265F" w:rsidRPr="008B1ADB" w:rsidRDefault="0052265F" w:rsidP="0090267D">
          <w:pPr>
            <w:jc w:val="right"/>
            <w:rPr>
              <w:rFonts w:ascii="Calibri" w:hAnsi="Calibri" w:cs="Arial"/>
              <w:color w:val="7030A0"/>
            </w:rPr>
          </w:pPr>
          <w:r w:rsidRPr="008B1ADB">
            <w:rPr>
              <w:rFonts w:ascii="Calibri" w:hAnsi="Calibri"/>
              <w:noProof/>
              <w:lang w:val="bg-BG" w:eastAsia="bg-BG"/>
            </w:rPr>
            <w:drawing>
              <wp:inline distT="0" distB="0" distL="0" distR="0" wp14:anchorId="2F8022E8" wp14:editId="61C7EEC1">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52265F" w:rsidRDefault="0052265F" w:rsidP="0052265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BC6EBE"/>
    <w:multiLevelType w:val="hybridMultilevel"/>
    <w:tmpl w:val="71F09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9C909EB"/>
    <w:multiLevelType w:val="hybridMultilevel"/>
    <w:tmpl w:val="419A113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15:restartNumberingAfterBreak="0">
    <w:nsid w:val="3EC84C4E"/>
    <w:multiLevelType w:val="hybridMultilevel"/>
    <w:tmpl w:val="266E8F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none"/>
      <w:pStyle w:val="6"/>
      <w:lvlText w:val=""/>
      <w:lvlJc w:val="left"/>
      <w:pPr>
        <w:tabs>
          <w:tab w:val="num" w:pos="360"/>
        </w:tabs>
        <w:ind w:left="0" w:firstLine="0"/>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6"/>
  </w:num>
  <w:num w:numId="18">
    <w:abstractNumId w:val="10"/>
  </w:num>
  <w:num w:numId="19">
    <w:abstractNumId w:val="10"/>
  </w:num>
  <w:num w:numId="20">
    <w:abstractNumId w:val="25"/>
  </w:num>
  <w:num w:numId="21">
    <w:abstractNumId w:val="18"/>
  </w:num>
  <w:num w:numId="22">
    <w:abstractNumId w:val="17"/>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5"/>
  </w:num>
  <w:num w:numId="2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25D3"/>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46B4E"/>
    <w:rsid w:val="0025137A"/>
    <w:rsid w:val="002514D1"/>
    <w:rsid w:val="0025177E"/>
    <w:rsid w:val="00251EA1"/>
    <w:rsid w:val="00252123"/>
    <w:rsid w:val="002560BB"/>
    <w:rsid w:val="002561C8"/>
    <w:rsid w:val="00264ACD"/>
    <w:rsid w:val="0026542C"/>
    <w:rsid w:val="00266C6F"/>
    <w:rsid w:val="00271700"/>
    <w:rsid w:val="00272A7B"/>
    <w:rsid w:val="00272D32"/>
    <w:rsid w:val="002803FF"/>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1E3"/>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340C"/>
    <w:rsid w:val="003A474A"/>
    <w:rsid w:val="003B3C9C"/>
    <w:rsid w:val="003B48B4"/>
    <w:rsid w:val="003C0747"/>
    <w:rsid w:val="003C6C9C"/>
    <w:rsid w:val="003C7266"/>
    <w:rsid w:val="003D2078"/>
    <w:rsid w:val="003D3CAA"/>
    <w:rsid w:val="003D7011"/>
    <w:rsid w:val="003D7611"/>
    <w:rsid w:val="003E4DCA"/>
    <w:rsid w:val="003E7C71"/>
    <w:rsid w:val="003F02F2"/>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137D"/>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2265F"/>
    <w:rsid w:val="00533C8D"/>
    <w:rsid w:val="00535826"/>
    <w:rsid w:val="00536B4A"/>
    <w:rsid w:val="00537189"/>
    <w:rsid w:val="00545957"/>
    <w:rsid w:val="00552278"/>
    <w:rsid w:val="00555BFC"/>
    <w:rsid w:val="00556923"/>
    <w:rsid w:val="005634B2"/>
    <w:rsid w:val="00575CB0"/>
    <w:rsid w:val="00580F0C"/>
    <w:rsid w:val="00582894"/>
    <w:rsid w:val="00586D6C"/>
    <w:rsid w:val="00587485"/>
    <w:rsid w:val="00591F23"/>
    <w:rsid w:val="00593550"/>
    <w:rsid w:val="0059371A"/>
    <w:rsid w:val="005A56C8"/>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7500"/>
    <w:rsid w:val="0068247E"/>
    <w:rsid w:val="00682804"/>
    <w:rsid w:val="0069153C"/>
    <w:rsid w:val="006917B2"/>
    <w:rsid w:val="00692095"/>
    <w:rsid w:val="00696FDD"/>
    <w:rsid w:val="006A48EA"/>
    <w:rsid w:val="006A5F84"/>
    <w:rsid w:val="006B0532"/>
    <w:rsid w:val="006B0AB1"/>
    <w:rsid w:val="006B2E98"/>
    <w:rsid w:val="006B3EAE"/>
    <w:rsid w:val="006B5B42"/>
    <w:rsid w:val="006C2F05"/>
    <w:rsid w:val="006C513D"/>
    <w:rsid w:val="006D3BA1"/>
    <w:rsid w:val="006D4CEC"/>
    <w:rsid w:val="006E4A76"/>
    <w:rsid w:val="006E56FD"/>
    <w:rsid w:val="006E6880"/>
    <w:rsid w:val="006F210E"/>
    <w:rsid w:val="006F43E5"/>
    <w:rsid w:val="006F62BC"/>
    <w:rsid w:val="006F7CB5"/>
    <w:rsid w:val="007011AC"/>
    <w:rsid w:val="00702131"/>
    <w:rsid w:val="00703425"/>
    <w:rsid w:val="00710379"/>
    <w:rsid w:val="00711C72"/>
    <w:rsid w:val="0071243A"/>
    <w:rsid w:val="00715B35"/>
    <w:rsid w:val="00723C11"/>
    <w:rsid w:val="00724D0C"/>
    <w:rsid w:val="007307A9"/>
    <w:rsid w:val="0073450F"/>
    <w:rsid w:val="00740F25"/>
    <w:rsid w:val="007423EF"/>
    <w:rsid w:val="00745DCA"/>
    <w:rsid w:val="0075384B"/>
    <w:rsid w:val="00754D2B"/>
    <w:rsid w:val="007563BB"/>
    <w:rsid w:val="007600CA"/>
    <w:rsid w:val="00760195"/>
    <w:rsid w:val="007625F7"/>
    <w:rsid w:val="007629E1"/>
    <w:rsid w:val="00763B1C"/>
    <w:rsid w:val="007666CD"/>
    <w:rsid w:val="00775749"/>
    <w:rsid w:val="00776BF7"/>
    <w:rsid w:val="00777E99"/>
    <w:rsid w:val="00785050"/>
    <w:rsid w:val="00786512"/>
    <w:rsid w:val="00787CA0"/>
    <w:rsid w:val="00792A1B"/>
    <w:rsid w:val="0079405A"/>
    <w:rsid w:val="007A0045"/>
    <w:rsid w:val="007A01BB"/>
    <w:rsid w:val="007A0C47"/>
    <w:rsid w:val="007B15A3"/>
    <w:rsid w:val="007B3943"/>
    <w:rsid w:val="007B65DB"/>
    <w:rsid w:val="007C0BDD"/>
    <w:rsid w:val="007C1656"/>
    <w:rsid w:val="007C2DCD"/>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36D"/>
    <w:rsid w:val="008A048D"/>
    <w:rsid w:val="008A39B7"/>
    <w:rsid w:val="008B2A9C"/>
    <w:rsid w:val="008B33D7"/>
    <w:rsid w:val="008C14A7"/>
    <w:rsid w:val="008C4E79"/>
    <w:rsid w:val="008C5A40"/>
    <w:rsid w:val="008C5DAA"/>
    <w:rsid w:val="008C787A"/>
    <w:rsid w:val="008E40E2"/>
    <w:rsid w:val="008E7470"/>
    <w:rsid w:val="008E7587"/>
    <w:rsid w:val="008F3866"/>
    <w:rsid w:val="008F3D27"/>
    <w:rsid w:val="00905B3D"/>
    <w:rsid w:val="009143FD"/>
    <w:rsid w:val="00917D02"/>
    <w:rsid w:val="00920A51"/>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1DAD"/>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086C"/>
    <w:rsid w:val="00B07102"/>
    <w:rsid w:val="00B1032A"/>
    <w:rsid w:val="00B1165D"/>
    <w:rsid w:val="00B13A59"/>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3F05"/>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B6E6B"/>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73C9"/>
    <w:rsid w:val="00C720C8"/>
    <w:rsid w:val="00C75CCE"/>
    <w:rsid w:val="00C778A1"/>
    <w:rsid w:val="00C80299"/>
    <w:rsid w:val="00C81B22"/>
    <w:rsid w:val="00C8328B"/>
    <w:rsid w:val="00C85C8A"/>
    <w:rsid w:val="00C85F4A"/>
    <w:rsid w:val="00C86724"/>
    <w:rsid w:val="00C87F4C"/>
    <w:rsid w:val="00C92434"/>
    <w:rsid w:val="00C92961"/>
    <w:rsid w:val="00CA1354"/>
    <w:rsid w:val="00CA618A"/>
    <w:rsid w:val="00CA6C68"/>
    <w:rsid w:val="00CA7FAB"/>
    <w:rsid w:val="00CB3E27"/>
    <w:rsid w:val="00CB4E1D"/>
    <w:rsid w:val="00CC7DE2"/>
    <w:rsid w:val="00CD7F25"/>
    <w:rsid w:val="00CE050B"/>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77ED1"/>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1C9B"/>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342E83"/>
  <w15:docId w15:val="{B2DCE5DA-EDB5-41F8-9167-C9285ACF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B6E6B"/>
    <w:pPr>
      <w:spacing w:before="120" w:after="120"/>
    </w:pPr>
    <w:rPr>
      <w:rFonts w:ascii="Arial" w:hAnsi="Arial"/>
      <w:snapToGrid w:val="0"/>
      <w:lang w:eastAsia="en-US"/>
    </w:rPr>
  </w:style>
  <w:style w:type="paragraph" w:styleId="1">
    <w:name w:val="heading 1"/>
    <w:basedOn w:val="a"/>
    <w:next w:val="a"/>
    <w:link w:val="10"/>
    <w:autoRedefine/>
    <w:qFormat/>
    <w:rsid w:val="00A4424B"/>
    <w:pPr>
      <w:keepNext/>
      <w:numPr>
        <w:numId w:val="2"/>
      </w:numPr>
      <w:spacing w:before="240" w:after="240"/>
      <w:jc w:val="both"/>
      <w:outlineLvl w:val="0"/>
    </w:pPr>
    <w:rPr>
      <w:rFonts w:ascii="Times New Roman" w:hAnsi="Times New Roman"/>
      <w:b/>
      <w:sz w:val="28"/>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before="0" w:after="0"/>
      <w:jc w:val="both"/>
    </w:pPr>
    <w:rPr>
      <w:rFonts w:ascii="Times New Roman" w:hAnsi="Times New Roman"/>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aliases w:val="Schriftart: 9 pt,Schriftart: 10 pt,Schriftart: 8 pt,WB-Fußnotentext,FoodNote,ft,Footnote,Footnote Text Char Char,Footnote Text Char1 Char Char,Footnote Text Char Char Char Char,fn,f,Voetnoottekst Char,Footnote Text Char1 Cha"/>
    <w:basedOn w:val="a"/>
    <w:link w:val="af2"/>
    <w:autoRedefine/>
    <w:qFormat/>
    <w:rsid w:val="00EB295F"/>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before="0" w:after="0"/>
      <w:ind w:left="400"/>
    </w:pPr>
    <w:rPr>
      <w:rFonts w:ascii="Times New Roman" w:hAnsi="Times New Roman"/>
      <w:i/>
    </w:rPr>
  </w:style>
  <w:style w:type="paragraph" w:styleId="41">
    <w:name w:val="toc 4"/>
    <w:basedOn w:val="a"/>
    <w:next w:val="a"/>
    <w:autoRedefine/>
    <w:semiHidden/>
    <w:pPr>
      <w:spacing w:before="0" w:after="0"/>
      <w:ind w:left="600"/>
    </w:pPr>
    <w:rPr>
      <w:rFonts w:ascii="Times New Roman" w:hAnsi="Times New Roman"/>
      <w:sz w:val="18"/>
    </w:rPr>
  </w:style>
  <w:style w:type="paragraph" w:styleId="51">
    <w:name w:val="toc 5"/>
    <w:basedOn w:val="a"/>
    <w:next w:val="a"/>
    <w:autoRedefine/>
    <w:semiHidden/>
    <w:pPr>
      <w:spacing w:before="0" w:after="0"/>
      <w:ind w:left="800"/>
    </w:pPr>
    <w:rPr>
      <w:rFonts w:ascii="Times New Roman" w:hAnsi="Times New Roman"/>
      <w:sz w:val="18"/>
    </w:rPr>
  </w:style>
  <w:style w:type="paragraph" w:styleId="61">
    <w:name w:val="toc 6"/>
    <w:basedOn w:val="a"/>
    <w:next w:val="a"/>
    <w:autoRedefine/>
    <w:semiHidden/>
    <w:pPr>
      <w:spacing w:before="0" w:after="0"/>
      <w:ind w:left="1000"/>
    </w:pPr>
    <w:rPr>
      <w:rFonts w:ascii="Times New Roman" w:hAnsi="Times New Roman"/>
      <w:sz w:val="18"/>
    </w:rPr>
  </w:style>
  <w:style w:type="paragraph" w:styleId="71">
    <w:name w:val="toc 7"/>
    <w:basedOn w:val="a"/>
    <w:next w:val="a"/>
    <w:autoRedefine/>
    <w:semiHidden/>
    <w:pPr>
      <w:spacing w:before="0" w:after="0"/>
      <w:ind w:left="1200"/>
    </w:pPr>
    <w:rPr>
      <w:rFonts w:ascii="Times New Roman" w:hAnsi="Times New Roman"/>
      <w:sz w:val="18"/>
    </w:rPr>
  </w:style>
  <w:style w:type="paragraph" w:styleId="81">
    <w:name w:val="toc 8"/>
    <w:basedOn w:val="a"/>
    <w:next w:val="a"/>
    <w:autoRedefine/>
    <w:semiHidden/>
    <w:pPr>
      <w:spacing w:before="0" w:after="0"/>
      <w:ind w:left="1400"/>
    </w:pPr>
    <w:rPr>
      <w:rFonts w:ascii="Times New Roman" w:hAnsi="Times New Roman"/>
      <w:sz w:val="18"/>
    </w:rPr>
  </w:style>
  <w:style w:type="paragraph" w:styleId="91">
    <w:name w:val="toc 9"/>
    <w:basedOn w:val="a"/>
    <w:next w:val="a"/>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8">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A4424B"/>
    <w:pPr>
      <w:tabs>
        <w:tab w:val="clear" w:pos="567"/>
      </w:tabs>
      <w:spacing w:before="120" w:after="120"/>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1"/>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before="0" w:after="160" w:line="240" w:lineRule="exact"/>
    </w:pPr>
    <w:rPr>
      <w:rFonts w:ascii="Tahoma" w:hAnsi="Tahoma"/>
      <w:snapToGrid/>
      <w:lang w:val="en-US"/>
    </w:rPr>
  </w:style>
  <w:style w:type="character" w:styleId="afc">
    <w:name w:val="annotation reference"/>
    <w:rsid w:val="00EE23B1"/>
    <w:rPr>
      <w:sz w:val="16"/>
      <w:szCs w:val="16"/>
    </w:rPr>
  </w:style>
  <w:style w:type="paragraph" w:styleId="afd">
    <w:name w:val="annotation text"/>
    <w:basedOn w:val="a"/>
    <w:link w:val="afe"/>
    <w:rsid w:val="00EE23B1"/>
  </w:style>
  <w:style w:type="paragraph" w:styleId="aff">
    <w:name w:val="annotation subject"/>
    <w:basedOn w:val="afd"/>
    <w:next w:val="afd"/>
    <w:semiHidden/>
    <w:rsid w:val="00EE23B1"/>
    <w:rPr>
      <w:b/>
      <w:bCs/>
    </w:rPr>
  </w:style>
  <w:style w:type="paragraph" w:styleId="aff0">
    <w:name w:val="List Paragraph"/>
    <w:basedOn w:val="a"/>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a"/>
    <w:rsid w:val="00123EDC"/>
    <w:pPr>
      <w:widowControl w:val="0"/>
      <w:numPr>
        <w:numId w:val="23"/>
      </w:numPr>
      <w:spacing w:before="100" w:after="100"/>
    </w:pPr>
    <w:rPr>
      <w:rFonts w:ascii="Times New Roman" w:hAnsi="Times New Roman"/>
      <w:sz w:val="24"/>
      <w:lang w:val="fr-FR"/>
    </w:rPr>
  </w:style>
  <w:style w:type="character" w:customStyle="1" w:styleId="afe">
    <w:name w:val="Текст на коментар Знак"/>
    <w:link w:val="afd"/>
    <w:rsid w:val="00DA4D57"/>
    <w:rPr>
      <w:rFonts w:ascii="Arial" w:hAnsi="Arial"/>
      <w:snapToGrid w:val="0"/>
      <w:lang w:eastAsia="en-US"/>
    </w:rPr>
  </w:style>
  <w:style w:type="paragraph" w:customStyle="1" w:styleId="Text1">
    <w:name w:val="Text 1"/>
    <w:basedOn w:val="a"/>
    <w:rsid w:val="002156A5"/>
    <w:pPr>
      <w:ind w:left="850"/>
      <w:jc w:val="both"/>
    </w:pPr>
    <w:rPr>
      <w:rFonts w:ascii="Times New Roman" w:eastAsia="Calibri" w:hAnsi="Times New Roman"/>
      <w:snapToGrid/>
      <w:sz w:val="24"/>
      <w:szCs w:val="22"/>
    </w:rPr>
  </w:style>
  <w:style w:type="paragraph" w:customStyle="1" w:styleId="Text2">
    <w:name w:val="Text 2"/>
    <w:basedOn w:val="a"/>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252355007">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88810461">
      <w:bodyDiv w:val="1"/>
      <w:marLeft w:val="0"/>
      <w:marRight w:val="0"/>
      <w:marTop w:val="0"/>
      <w:marBottom w:val="0"/>
      <w:divBdr>
        <w:top w:val="none" w:sz="0" w:space="0" w:color="auto"/>
        <w:left w:val="none" w:sz="0" w:space="0" w:color="auto"/>
        <w:bottom w:val="none" w:sz="0" w:space="0" w:color="auto"/>
        <w:right w:val="none" w:sz="0" w:space="0" w:color="auto"/>
      </w:divBdr>
    </w:div>
    <w:div w:id="1811901221">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uloglubelediyesi@outlook.com"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E6015-B86A-4B0A-8758-0B0101CAA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5777</Words>
  <Characters>31614</Characters>
  <Application>Microsoft Office Word</Application>
  <DocSecurity>0</DocSecurity>
  <Lines>263</Lines>
  <Paragraphs>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37317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lenovo</cp:lastModifiedBy>
  <cp:revision>7</cp:revision>
  <cp:lastPrinted>2018-04-13T13:21:00Z</cp:lastPrinted>
  <dcterms:created xsi:type="dcterms:W3CDTF">2020-01-26T13:58:00Z</dcterms:created>
  <dcterms:modified xsi:type="dcterms:W3CDTF">2020-01-27T21:43:00Z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