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A2E16" w14:textId="77777777" w:rsidR="003527EE" w:rsidRDefault="0006344A">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2026E281" w14:textId="77777777" w:rsidR="003527EE" w:rsidRDefault="003527EE">
      <w:pPr>
        <w:spacing w:before="0" w:after="0"/>
        <w:ind w:left="567" w:hanging="567"/>
        <w:rPr>
          <w:rFonts w:ascii="Times New Roman" w:hAnsi="Times New Roman"/>
          <w:lang w:val="en-GB"/>
        </w:rPr>
      </w:pPr>
    </w:p>
    <w:p w14:paraId="0ECC208B" w14:textId="77777777" w:rsidR="003527EE" w:rsidRDefault="0006344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48093862" w14:textId="77777777" w:rsidR="003527EE" w:rsidRDefault="0006344A">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Lot </w:t>
      </w:r>
      <w:r>
        <w:rPr>
          <w:rFonts w:ascii="Times New Roman" w:hAnsi="Times New Roman"/>
          <w:b/>
          <w:sz w:val="22"/>
          <w:szCs w:val="22"/>
          <w:lang w:val="en-US"/>
        </w:rPr>
        <w:t xml:space="preserve">4 </w:t>
      </w:r>
      <w:r>
        <w:rPr>
          <w:rFonts w:ascii="Times New Roman" w:hAnsi="Times New Roman"/>
          <w:b/>
          <w:bCs/>
          <w:sz w:val="22"/>
          <w:szCs w:val="22"/>
          <w:lang w:val="en-US"/>
        </w:rPr>
        <w:t xml:space="preserve">Supply of  </w:t>
      </w:r>
      <w:r>
        <w:rPr>
          <w:rFonts w:ascii="Times New Roman" w:hAnsi="Times New Roman"/>
          <w:b/>
          <w:bCs/>
          <w:sz w:val="22"/>
          <w:szCs w:val="22"/>
          <w:lang w:val="en-US"/>
        </w:rPr>
        <w:t>Lab systems and equipment</w:t>
      </w:r>
      <w:r>
        <w:rPr>
          <w:rFonts w:ascii="Times New Roman" w:hAnsi="Times New Roman"/>
          <w:b/>
          <w:sz w:val="22"/>
          <w:szCs w:val="22"/>
          <w:lang w:val="en-GB"/>
        </w:rPr>
        <w:tab/>
      </w:r>
      <w:r>
        <w:rPr>
          <w:rFonts w:ascii="Times New Roman" w:hAnsi="Times New Roman"/>
          <w:b/>
          <w:sz w:val="22"/>
          <w:lang w:val="en-GB"/>
        </w:rPr>
        <w:t>p 1 /…</w:t>
      </w:r>
    </w:p>
    <w:p w14:paraId="24C4D0CF" w14:textId="1706B992" w:rsidR="003527EE" w:rsidRDefault="0006344A">
      <w:pPr>
        <w:tabs>
          <w:tab w:val="left" w:pos="7491"/>
        </w:tabs>
        <w:rPr>
          <w:rFonts w:ascii="Times New Roman" w:hAnsi="Times New Roman"/>
          <w:b/>
          <w:sz w:val="22"/>
          <w:lang w:val="en-GB"/>
        </w:rPr>
      </w:pPr>
      <w:r>
        <w:rPr>
          <w:rFonts w:ascii="Times New Roman" w:hAnsi="Times New Roman"/>
          <w:b/>
          <w:sz w:val="22"/>
          <w:szCs w:val="22"/>
          <w:lang w:val="en-GB"/>
        </w:rPr>
        <w:t>Publication reference</w:t>
      </w:r>
      <w:r w:rsidRPr="00A5150B">
        <w:rPr>
          <w:rFonts w:ascii="Times New Roman" w:hAnsi="Times New Roman"/>
          <w:b/>
          <w:sz w:val="22"/>
          <w:szCs w:val="22"/>
          <w:lang w:val="en-GB"/>
        </w:rPr>
        <w:t>:</w:t>
      </w:r>
      <w:r w:rsidRPr="00A5150B">
        <w:rPr>
          <w:rFonts w:ascii="Times New Roman" w:hAnsi="Times New Roman"/>
          <w:sz w:val="22"/>
          <w:lang w:val="en-GB"/>
        </w:rPr>
        <w:t xml:space="preserve"> </w:t>
      </w:r>
      <w:r w:rsidRPr="00A5150B">
        <w:rPr>
          <w:rFonts w:ascii="Times New Roman" w:hAnsi="Times New Roman"/>
          <w:sz w:val="22"/>
          <w:lang w:val="en-GB"/>
        </w:rPr>
        <w:t xml:space="preserve">CB005.3.12.001 - </w:t>
      </w:r>
      <w:r w:rsidRPr="00A5150B">
        <w:rPr>
          <w:rFonts w:ascii="Times New Roman" w:hAnsi="Times New Roman"/>
          <w:color w:val="000000"/>
          <w:sz w:val="22"/>
          <w:lang w:val="en-US"/>
        </w:rPr>
        <w:t>P</w:t>
      </w:r>
      <w:r w:rsidRPr="00A5150B">
        <w:rPr>
          <w:rFonts w:ascii="Times New Roman" w:hAnsi="Times New Roman"/>
          <w:sz w:val="22"/>
          <w:lang w:val="en-GB"/>
        </w:rPr>
        <w:t xml:space="preserve">P – Supply </w:t>
      </w:r>
      <w:r w:rsidR="00A5150B" w:rsidRPr="00A5150B">
        <w:rPr>
          <w:rFonts w:ascii="Times New Roman" w:hAnsi="Times New Roman"/>
          <w:color w:val="000000"/>
          <w:sz w:val="22"/>
          <w:lang w:val="en-US"/>
        </w:rPr>
        <w:t>7</w:t>
      </w:r>
    </w:p>
    <w:p w14:paraId="2D8B5A6F" w14:textId="77777777" w:rsidR="003527EE" w:rsidRDefault="003527EE">
      <w:pPr>
        <w:tabs>
          <w:tab w:val="left" w:pos="7491"/>
        </w:tabs>
        <w:rPr>
          <w:rFonts w:ascii="Times New Roman" w:hAnsi="Times New Roman"/>
          <w:b/>
          <w:sz w:val="22"/>
          <w:lang w:val="en-GB"/>
        </w:rPr>
      </w:pPr>
    </w:p>
    <w:p w14:paraId="561927DE" w14:textId="77777777" w:rsidR="003527EE" w:rsidRDefault="003527EE">
      <w:pPr>
        <w:tabs>
          <w:tab w:val="left" w:pos="7491"/>
        </w:tabs>
        <w:rPr>
          <w:rFonts w:ascii="Times New Roman" w:hAnsi="Times New Roman"/>
          <w:b/>
          <w:sz w:val="22"/>
          <w:lang w:val="en-GB"/>
        </w:rPr>
      </w:pPr>
    </w:p>
    <w:p w14:paraId="1E1B5DCC" w14:textId="77777777" w:rsidR="003527EE" w:rsidRDefault="003527EE">
      <w:pPr>
        <w:spacing w:before="0" w:after="0"/>
        <w:ind w:left="567" w:hanging="567"/>
        <w:rPr>
          <w:rFonts w:ascii="Times New Roman" w:hAnsi="Times New Roman"/>
          <w:b/>
          <w:sz w:val="22"/>
          <w:szCs w:val="22"/>
          <w:highlight w:val="yellow"/>
          <w:lang w:val="en-GB"/>
        </w:rPr>
      </w:pPr>
    </w:p>
    <w:p w14:paraId="1AEA0F0A" w14:textId="77777777" w:rsidR="003527EE" w:rsidRDefault="0006344A">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204FA164" w14:textId="77777777" w:rsidR="003527EE" w:rsidRDefault="0006344A">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29EF39FE" w14:textId="77777777" w:rsidR="003527EE" w:rsidRDefault="0006344A">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599095BF" w14:textId="77777777" w:rsidR="003527EE" w:rsidRDefault="0006344A">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1ACD9D60" w14:textId="77777777" w:rsidR="003527EE" w:rsidRDefault="0006344A">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5D1B2F4F" w14:textId="77777777" w:rsidR="003527EE" w:rsidRDefault="0006344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specifications (n</w:t>
      </w:r>
      <w:r>
        <w:rPr>
          <w:rFonts w:ascii="Times New Roman" w:hAnsi="Times New Roman"/>
          <w:sz w:val="22"/>
          <w:szCs w:val="22"/>
          <w:lang w:val="en-GB"/>
        </w:rPr>
        <w:t xml:space="preserve">ot to be modified by the tenderer), </w:t>
      </w:r>
    </w:p>
    <w:p w14:paraId="76F2D5D1" w14:textId="77777777" w:rsidR="003527EE" w:rsidRDefault="0006344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5D01B73F" w14:textId="77777777" w:rsidR="003527EE" w:rsidRDefault="0006344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w:t>
      </w:r>
      <w:r>
        <w:rPr>
          <w:rFonts w:ascii="Times New Roman" w:hAnsi="Times New Roman"/>
          <w:sz w:val="22"/>
          <w:szCs w:val="22"/>
          <w:lang w:val="en-GB"/>
        </w:rPr>
        <w:t>ake eventual references to the documentation</w:t>
      </w:r>
    </w:p>
    <w:p w14:paraId="25DFE3B3" w14:textId="77777777" w:rsidR="003527EE" w:rsidRDefault="0006344A">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w:t>
      </w:r>
      <w:r>
        <w:rPr>
          <w:rFonts w:ascii="Times New Roman" w:hAnsi="Times New Roman"/>
          <w:sz w:val="22"/>
          <w:szCs w:val="22"/>
          <w:lang w:val="en-GB"/>
        </w:rPr>
        <w:t>t to identify precisely the models and the specifications may be rejected by the evaluation committee.</w:t>
      </w:r>
    </w:p>
    <w:p w14:paraId="192F0E84" w14:textId="77777777" w:rsidR="003527EE" w:rsidRDefault="0006344A">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3527EE" w14:paraId="289F345B"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4C922E" w14:textId="77777777" w:rsidR="003527EE" w:rsidRDefault="0006344A">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3D90B957" w14:textId="77777777" w:rsidR="003527EE" w:rsidRDefault="0006344A">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74231525" w14:textId="77777777" w:rsidR="003527EE" w:rsidRDefault="0006344A">
            <w:pPr>
              <w:widowControl w:val="0"/>
              <w:jc w:val="center"/>
              <w:rPr>
                <w:rFonts w:ascii="Times New Roman" w:hAnsi="Times New Roman"/>
                <w:b/>
                <w:sz w:val="22"/>
                <w:szCs w:val="22"/>
              </w:rPr>
            </w:pPr>
            <w:r>
              <w:rPr>
                <w:rFonts w:ascii="Times New Roman" w:hAnsi="Times New Roman"/>
                <w:b/>
                <w:sz w:val="22"/>
                <w:szCs w:val="22"/>
              </w:rPr>
              <w:t>2.</w:t>
            </w:r>
          </w:p>
          <w:p w14:paraId="00EF24C8" w14:textId="77777777" w:rsidR="003527EE" w:rsidRDefault="0006344A">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7162B557" w14:textId="77777777" w:rsidR="003527EE" w:rsidRDefault="0006344A">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2D3BCA5" w14:textId="77777777" w:rsidR="003527EE" w:rsidRDefault="0006344A">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3FF8FCDA" w14:textId="77777777" w:rsidR="003527EE" w:rsidRDefault="0006344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4E091B39" w14:textId="77777777" w:rsidR="003527EE" w:rsidRDefault="0006344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4E66465A" w14:textId="77777777" w:rsidR="003527EE" w:rsidRDefault="0006344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4A5D312" w14:textId="77777777" w:rsidR="003527EE" w:rsidRDefault="0006344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3527EE" w14:paraId="15F6337B" w14:textId="77777777">
        <w:trPr>
          <w:cantSplit/>
        </w:trPr>
        <w:tc>
          <w:tcPr>
            <w:tcW w:w="1134" w:type="dxa"/>
            <w:tcBorders>
              <w:top w:val="single" w:sz="4" w:space="0" w:color="000000"/>
              <w:left w:val="single" w:sz="4" w:space="0" w:color="000000"/>
              <w:bottom w:val="single" w:sz="4" w:space="0" w:color="000000"/>
              <w:right w:val="single" w:sz="4" w:space="0" w:color="000000"/>
            </w:tcBorders>
          </w:tcPr>
          <w:p w14:paraId="7EA8403A" w14:textId="77777777" w:rsidR="003527EE" w:rsidRDefault="0006344A">
            <w:pPr>
              <w:widowControl w:val="0"/>
              <w:rPr>
                <w:rFonts w:ascii="Times New Roman" w:hAnsi="Times New Roman"/>
                <w:b/>
                <w:lang w:val="en-US"/>
              </w:rPr>
            </w:pPr>
            <w:r>
              <w:rPr>
                <w:rFonts w:ascii="Times New Roman" w:hAnsi="Times New Roman"/>
                <w:b/>
                <w:lang w:val="en-US"/>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17B4E19E" w14:textId="77777777" w:rsidR="003527EE" w:rsidRDefault="0006344A">
            <w:pPr>
              <w:widowControl w:val="0"/>
              <w:rPr>
                <w:sz w:val="14"/>
                <w:szCs w:val="14"/>
                <w:lang w:val="en-US"/>
              </w:rPr>
            </w:pPr>
            <w:r>
              <w:rPr>
                <w:sz w:val="14"/>
                <w:szCs w:val="14"/>
                <w:lang w:val="en-US"/>
              </w:rPr>
              <w:t xml:space="preserve">Differential Scanning Calorimeter (DSC) – 1 pcs. </w:t>
            </w:r>
          </w:p>
          <w:p w14:paraId="11401749" w14:textId="77777777" w:rsidR="003527EE" w:rsidRDefault="0006344A">
            <w:pPr>
              <w:widowControl w:val="0"/>
              <w:rPr>
                <w:sz w:val="14"/>
                <w:szCs w:val="14"/>
                <w:lang w:val="en-US"/>
              </w:rPr>
            </w:pPr>
            <w:r>
              <w:rPr>
                <w:sz w:val="14"/>
                <w:szCs w:val="14"/>
                <w:lang w:val="en-US"/>
              </w:rPr>
              <w:t xml:space="preserve">1. The system should allow DSC measurements between -150 </w:t>
            </w:r>
            <w:r>
              <w:rPr>
                <w:sz w:val="14"/>
                <w:szCs w:val="14"/>
                <w:lang w:val="en-US"/>
              </w:rPr>
              <w:t>and 600°C.</w:t>
            </w:r>
          </w:p>
          <w:p w14:paraId="62C9F76D" w14:textId="77777777" w:rsidR="003527EE" w:rsidRDefault="0006344A">
            <w:pPr>
              <w:widowControl w:val="0"/>
              <w:rPr>
                <w:sz w:val="14"/>
                <w:szCs w:val="14"/>
                <w:lang w:val="en-US"/>
              </w:rPr>
            </w:pPr>
            <w:r>
              <w:rPr>
                <w:sz w:val="14"/>
                <w:szCs w:val="14"/>
                <w:lang w:val="en-US"/>
              </w:rPr>
              <w:t>2. The system shall be capable of running in oxidizing, inert and reducing sample atmospheres.</w:t>
            </w:r>
          </w:p>
          <w:p w14:paraId="7925FB5E" w14:textId="77777777" w:rsidR="003527EE" w:rsidRDefault="0006344A">
            <w:pPr>
              <w:widowControl w:val="0"/>
              <w:rPr>
                <w:sz w:val="14"/>
                <w:szCs w:val="14"/>
                <w:lang w:val="en-US"/>
              </w:rPr>
            </w:pPr>
            <w:r>
              <w:rPr>
                <w:sz w:val="14"/>
                <w:szCs w:val="14"/>
                <w:lang w:val="en-US"/>
              </w:rPr>
              <w:t>3. The system must have a user exchangeable high-resolution Heat Flux Sensor.</w:t>
            </w:r>
          </w:p>
          <w:p w14:paraId="41293F22" w14:textId="77777777" w:rsidR="003527EE" w:rsidRDefault="0006344A">
            <w:pPr>
              <w:widowControl w:val="0"/>
              <w:rPr>
                <w:sz w:val="14"/>
                <w:szCs w:val="14"/>
                <w:lang w:val="en-US"/>
              </w:rPr>
            </w:pPr>
            <w:r>
              <w:rPr>
                <w:sz w:val="14"/>
                <w:szCs w:val="14"/>
                <w:lang w:val="en-US"/>
              </w:rPr>
              <w:t>4. Heating/Cooling rates should between 0,02 and 100K/min.</w:t>
            </w:r>
          </w:p>
          <w:p w14:paraId="6667CA19" w14:textId="77777777" w:rsidR="003527EE" w:rsidRDefault="0006344A">
            <w:pPr>
              <w:widowControl w:val="0"/>
              <w:rPr>
                <w:sz w:val="14"/>
                <w:szCs w:val="14"/>
                <w:lang w:val="en-US"/>
              </w:rPr>
            </w:pPr>
            <w:r>
              <w:rPr>
                <w:sz w:val="14"/>
                <w:szCs w:val="14"/>
                <w:lang w:val="en-US"/>
              </w:rPr>
              <w:t>5. Air Coolin</w:t>
            </w:r>
            <w:r>
              <w:rPr>
                <w:sz w:val="14"/>
                <w:szCs w:val="14"/>
                <w:lang w:val="en-US"/>
              </w:rPr>
              <w:t xml:space="preserve">g rate should be minimum 0,02 to 30 K/min without external cooling source </w:t>
            </w:r>
          </w:p>
          <w:p w14:paraId="36C11D9D" w14:textId="77777777" w:rsidR="003527EE" w:rsidRDefault="0006344A">
            <w:pPr>
              <w:widowControl w:val="0"/>
              <w:rPr>
                <w:sz w:val="14"/>
                <w:szCs w:val="14"/>
                <w:lang w:val="en-US"/>
              </w:rPr>
            </w:pPr>
            <w:r>
              <w:rPr>
                <w:sz w:val="14"/>
                <w:szCs w:val="14"/>
                <w:lang w:val="en-US"/>
              </w:rPr>
              <w:t>6. The software should include calibration routines and offer the possibility for automatic baseline correction of the DSC signal.</w:t>
            </w:r>
          </w:p>
          <w:p w14:paraId="2999E588" w14:textId="77777777" w:rsidR="003527EE" w:rsidRDefault="0006344A">
            <w:pPr>
              <w:widowControl w:val="0"/>
              <w:rPr>
                <w:sz w:val="14"/>
                <w:szCs w:val="14"/>
                <w:lang w:val="en-US"/>
              </w:rPr>
            </w:pPr>
            <w:r>
              <w:rPr>
                <w:sz w:val="14"/>
                <w:szCs w:val="14"/>
                <w:lang w:val="en-US"/>
              </w:rPr>
              <w:t xml:space="preserve">7. A closed loop cooling system   which allows to </w:t>
            </w:r>
            <w:r>
              <w:rPr>
                <w:sz w:val="14"/>
                <w:szCs w:val="14"/>
                <w:lang w:val="en-US"/>
              </w:rPr>
              <w:t xml:space="preserve">cool minimum -80 °C  should be included within the system. </w:t>
            </w:r>
          </w:p>
          <w:p w14:paraId="10074F8D" w14:textId="77777777" w:rsidR="003527EE" w:rsidRDefault="0006344A">
            <w:pPr>
              <w:widowControl w:val="0"/>
              <w:rPr>
                <w:sz w:val="14"/>
                <w:szCs w:val="14"/>
                <w:lang w:val="en-US"/>
              </w:rPr>
            </w:pPr>
            <w:r>
              <w:rPr>
                <w:sz w:val="14"/>
                <w:szCs w:val="14"/>
                <w:lang w:val="en-US"/>
              </w:rPr>
              <w:t>8. The system must be delivered with at least 4  standards to allow calibration for temperature and DSC by the user.</w:t>
            </w:r>
          </w:p>
          <w:p w14:paraId="03839018" w14:textId="77777777" w:rsidR="003527EE" w:rsidRDefault="0006344A">
            <w:pPr>
              <w:widowControl w:val="0"/>
              <w:rPr>
                <w:sz w:val="14"/>
                <w:szCs w:val="14"/>
                <w:lang w:val="en-US"/>
              </w:rPr>
            </w:pPr>
            <w:r>
              <w:rPr>
                <w:sz w:val="14"/>
                <w:szCs w:val="14"/>
                <w:lang w:val="en-US"/>
              </w:rPr>
              <w:t>9. A Thermal Library sample database has to be available.</w:t>
            </w:r>
          </w:p>
          <w:p w14:paraId="693BA136" w14:textId="77777777" w:rsidR="003527EE" w:rsidRDefault="0006344A">
            <w:pPr>
              <w:widowControl w:val="0"/>
              <w:rPr>
                <w:sz w:val="14"/>
                <w:szCs w:val="14"/>
                <w:lang w:val="en-US"/>
              </w:rPr>
            </w:pPr>
            <w:r>
              <w:rPr>
                <w:sz w:val="14"/>
                <w:szCs w:val="14"/>
                <w:lang w:val="en-US"/>
              </w:rPr>
              <w:t>10. DSC operating and</w:t>
            </w:r>
            <w:r>
              <w:rPr>
                <w:sz w:val="14"/>
                <w:szCs w:val="14"/>
                <w:lang w:val="en-US"/>
              </w:rPr>
              <w:t xml:space="preserve"> evaluation software and a computer (Minimum intel i7 10th gen or equivalent, Minimum 16 gb Ram and Minimum 250 gb SSD, Minimum  23 inch monitor, Windows 10 or equivalent) should be provided.</w:t>
            </w:r>
          </w:p>
          <w:p w14:paraId="2FA4932C" w14:textId="77777777" w:rsidR="003527EE" w:rsidRDefault="0006344A">
            <w:pPr>
              <w:widowControl w:val="0"/>
              <w:rPr>
                <w:sz w:val="14"/>
                <w:szCs w:val="14"/>
                <w:lang w:val="en-US"/>
              </w:rPr>
            </w:pPr>
            <w:r>
              <w:rPr>
                <w:sz w:val="14"/>
                <w:szCs w:val="14"/>
                <w:lang w:val="en-US"/>
              </w:rPr>
              <w:t xml:space="preserve">11. The system must operate with a USB interface or equivalent  </w:t>
            </w:r>
            <w:r>
              <w:rPr>
                <w:sz w:val="14"/>
                <w:szCs w:val="14"/>
                <w:lang w:val="en-US"/>
              </w:rPr>
              <w:t xml:space="preserve">  </w:t>
            </w:r>
          </w:p>
          <w:p w14:paraId="57AED0CE" w14:textId="77777777" w:rsidR="003527EE" w:rsidRDefault="0006344A">
            <w:pPr>
              <w:widowControl w:val="0"/>
              <w:rPr>
                <w:sz w:val="14"/>
                <w:szCs w:val="14"/>
                <w:lang w:val="en-US"/>
              </w:rPr>
            </w:pPr>
            <w:r>
              <w:rPr>
                <w:sz w:val="14"/>
                <w:szCs w:val="14"/>
                <w:lang w:val="en-US"/>
              </w:rPr>
              <w:t>12.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88D5629" w14:textId="77777777" w:rsidR="003527EE" w:rsidRDefault="003527EE">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112F4F3E" w14:textId="77777777" w:rsidR="003527EE" w:rsidRDefault="003527EE">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EFFCA06" w14:textId="77777777" w:rsidR="003527EE" w:rsidRDefault="003527EE">
            <w:pPr>
              <w:widowControl w:val="0"/>
              <w:tabs>
                <w:tab w:val="left" w:pos="729"/>
              </w:tabs>
              <w:jc w:val="center"/>
              <w:rPr>
                <w:rFonts w:ascii="Times New Roman" w:hAnsi="Times New Roman"/>
                <w:b/>
                <w:lang w:val="en-GB"/>
              </w:rPr>
            </w:pPr>
          </w:p>
        </w:tc>
      </w:tr>
      <w:tr w:rsidR="003527EE" w14:paraId="0B99DAB8" w14:textId="77777777">
        <w:trPr>
          <w:cantSplit/>
        </w:trPr>
        <w:tc>
          <w:tcPr>
            <w:tcW w:w="1134" w:type="dxa"/>
            <w:tcBorders>
              <w:left w:val="single" w:sz="4" w:space="0" w:color="000000"/>
              <w:bottom w:val="single" w:sz="4" w:space="0" w:color="000000"/>
              <w:right w:val="single" w:sz="4" w:space="0" w:color="000000"/>
            </w:tcBorders>
          </w:tcPr>
          <w:p w14:paraId="2121AD5C" w14:textId="77777777" w:rsidR="003527EE" w:rsidRDefault="0006344A">
            <w:pPr>
              <w:widowControl w:val="0"/>
              <w:rPr>
                <w:rFonts w:ascii="Times New Roman" w:hAnsi="Times New Roman"/>
                <w:b/>
                <w:lang w:val="en-US"/>
              </w:rPr>
            </w:pPr>
            <w:r>
              <w:rPr>
                <w:rFonts w:ascii="Times New Roman" w:hAnsi="Times New Roman"/>
                <w:b/>
                <w:lang w:val="en-US"/>
              </w:rPr>
              <w:lastRenderedPageBreak/>
              <w:t>2</w:t>
            </w:r>
          </w:p>
        </w:tc>
        <w:tc>
          <w:tcPr>
            <w:tcW w:w="4678" w:type="dxa"/>
            <w:tcBorders>
              <w:left w:val="single" w:sz="4" w:space="0" w:color="000000"/>
              <w:bottom w:val="single" w:sz="4" w:space="0" w:color="000000"/>
              <w:right w:val="single" w:sz="4" w:space="0" w:color="000000"/>
            </w:tcBorders>
            <w:vAlign w:val="center"/>
          </w:tcPr>
          <w:p w14:paraId="24045453" w14:textId="77777777" w:rsidR="003527EE" w:rsidRDefault="0006344A">
            <w:pPr>
              <w:widowControl w:val="0"/>
              <w:rPr>
                <w:lang w:val="en-US"/>
              </w:rPr>
            </w:pPr>
            <w:r>
              <w:rPr>
                <w:b/>
                <w:bCs/>
                <w:sz w:val="14"/>
                <w:szCs w:val="14"/>
                <w:lang w:val="en-US"/>
              </w:rPr>
              <w:t>Fluorescence Spectrophometer</w:t>
            </w:r>
            <w:r>
              <w:rPr>
                <w:sz w:val="14"/>
                <w:szCs w:val="14"/>
                <w:lang w:val="en-US"/>
              </w:rPr>
              <w:t xml:space="preserve"> (SOLID AND LIQUID) – 1 pcs.</w:t>
            </w:r>
          </w:p>
          <w:p w14:paraId="5523CCF1" w14:textId="77777777" w:rsidR="003527EE" w:rsidRDefault="0006344A">
            <w:pPr>
              <w:widowControl w:val="0"/>
              <w:rPr>
                <w:sz w:val="14"/>
                <w:szCs w:val="14"/>
                <w:lang w:val="en-US"/>
              </w:rPr>
            </w:pPr>
            <w:r>
              <w:rPr>
                <w:sz w:val="14"/>
                <w:szCs w:val="14"/>
                <w:lang w:val="en-US"/>
              </w:rPr>
              <w:t xml:space="preserve">1. The instrument must be capable of multiple data collection modes including fluorescence, phosphorescence, chemi-luminescence and bio-luminescence.  </w:t>
            </w:r>
          </w:p>
          <w:p w14:paraId="597A1CC1" w14:textId="77777777" w:rsidR="003527EE" w:rsidRDefault="0006344A">
            <w:pPr>
              <w:widowControl w:val="0"/>
              <w:rPr>
                <w:sz w:val="14"/>
                <w:szCs w:val="14"/>
                <w:lang w:val="en-US"/>
              </w:rPr>
            </w:pPr>
            <w:r>
              <w:rPr>
                <w:sz w:val="14"/>
                <w:szCs w:val="14"/>
                <w:lang w:val="en-US"/>
              </w:rPr>
              <w:t>2. System should have variable wavelength.</w:t>
            </w:r>
          </w:p>
          <w:p w14:paraId="3CAE04D6" w14:textId="77777777" w:rsidR="003527EE" w:rsidRDefault="0006344A">
            <w:pPr>
              <w:widowControl w:val="0"/>
              <w:rPr>
                <w:sz w:val="14"/>
                <w:szCs w:val="14"/>
                <w:lang w:val="en-US"/>
              </w:rPr>
            </w:pPr>
            <w:r>
              <w:rPr>
                <w:sz w:val="14"/>
                <w:szCs w:val="14"/>
                <w:lang w:val="en-US"/>
              </w:rPr>
              <w:t>3. The instrument must be a Xeno</w:t>
            </w:r>
            <w:r>
              <w:rPr>
                <w:sz w:val="14"/>
                <w:szCs w:val="14"/>
                <w:lang w:val="en-US"/>
              </w:rPr>
              <w:t xml:space="preserve">n flash lamp based instrument. The Xe flash lamp will also minimize fluorescence photo-bleaching of any samples and must also flash at 80 Hz to allow fast data collection.   </w:t>
            </w:r>
          </w:p>
          <w:p w14:paraId="7AFC4EB8" w14:textId="77777777" w:rsidR="003527EE" w:rsidRDefault="0006344A">
            <w:pPr>
              <w:widowControl w:val="0"/>
              <w:rPr>
                <w:sz w:val="14"/>
                <w:szCs w:val="14"/>
                <w:lang w:val="en-US"/>
              </w:rPr>
            </w:pPr>
            <w:r>
              <w:rPr>
                <w:sz w:val="14"/>
                <w:szCs w:val="14"/>
                <w:lang w:val="en-US"/>
              </w:rPr>
              <w:t xml:space="preserve">4. The instrument beam must have horizontal excitation beam geometry for maximum </w:t>
            </w:r>
            <w:r>
              <w:rPr>
                <w:sz w:val="14"/>
                <w:szCs w:val="14"/>
                <w:lang w:val="en-US"/>
              </w:rPr>
              <w:t xml:space="preserve">collection efficiency and to permit the use of low sample volumes in cuvettes.  </w:t>
            </w:r>
          </w:p>
          <w:p w14:paraId="3C64E5E6" w14:textId="77777777" w:rsidR="003527EE" w:rsidRDefault="0006344A">
            <w:pPr>
              <w:widowControl w:val="0"/>
              <w:rPr>
                <w:sz w:val="14"/>
                <w:szCs w:val="14"/>
                <w:lang w:val="en-US"/>
              </w:rPr>
            </w:pPr>
            <w:r>
              <w:rPr>
                <w:sz w:val="14"/>
                <w:szCs w:val="14"/>
                <w:lang w:val="en-US"/>
              </w:rPr>
              <w:t xml:space="preserve">5. The instrument must be capable of enhanced sensitivity above 700 nm with a  photomultiplier tube and measuring picomolar amounts of fluorescein.  </w:t>
            </w:r>
          </w:p>
          <w:p w14:paraId="05D4888B" w14:textId="77777777" w:rsidR="003527EE" w:rsidRDefault="0006344A">
            <w:pPr>
              <w:widowControl w:val="0"/>
              <w:rPr>
                <w:sz w:val="14"/>
                <w:szCs w:val="14"/>
                <w:lang w:val="en-US"/>
              </w:rPr>
            </w:pPr>
            <w:r>
              <w:rPr>
                <w:sz w:val="14"/>
                <w:szCs w:val="14"/>
                <w:lang w:val="en-US"/>
              </w:rPr>
              <w:t>6. The instrument must ha</w:t>
            </w:r>
            <w:r>
              <w:rPr>
                <w:sz w:val="14"/>
                <w:szCs w:val="14"/>
                <w:lang w:val="en-US"/>
              </w:rPr>
              <w:t>ve a guaranteed signal-to-noise specification of &gt;500:1 for the Raman Band of Water – excitation at 500 nm, 1 sec signal averaging time..</w:t>
            </w:r>
          </w:p>
          <w:p w14:paraId="4586E3C2" w14:textId="77777777" w:rsidR="003527EE" w:rsidRDefault="0006344A">
            <w:pPr>
              <w:widowControl w:val="0"/>
              <w:rPr>
                <w:sz w:val="14"/>
                <w:szCs w:val="14"/>
                <w:lang w:val="en-US"/>
              </w:rPr>
            </w:pPr>
            <w:r>
              <w:rPr>
                <w:sz w:val="14"/>
                <w:szCs w:val="14"/>
                <w:lang w:val="en-US"/>
              </w:rPr>
              <w:t>7. The instrument must be capable of measuring four or greater cells automatically and must have a temperature accurac</w:t>
            </w:r>
            <w:r>
              <w:rPr>
                <w:sz w:val="14"/>
                <w:szCs w:val="14"/>
                <w:lang w:val="en-US"/>
              </w:rPr>
              <w:t xml:space="preserve">y of +/- 0.1 - 0.5 °C.  </w:t>
            </w:r>
          </w:p>
          <w:p w14:paraId="62DC6A35" w14:textId="77777777" w:rsidR="003527EE" w:rsidRDefault="0006344A">
            <w:pPr>
              <w:widowControl w:val="0"/>
              <w:rPr>
                <w:sz w:val="14"/>
                <w:szCs w:val="14"/>
                <w:lang w:val="en-US"/>
              </w:rPr>
            </w:pPr>
            <w:r>
              <w:rPr>
                <w:sz w:val="14"/>
                <w:szCs w:val="14"/>
                <w:lang w:val="en-US"/>
              </w:rPr>
              <w:t xml:space="preserve">8. The instrument must have the ability to measure the exact temperature of the solution using independent temperature probes and have the ability to ramp the temperature range.  </w:t>
            </w:r>
          </w:p>
          <w:p w14:paraId="3CE36033" w14:textId="77777777" w:rsidR="003527EE" w:rsidRDefault="0006344A">
            <w:pPr>
              <w:widowControl w:val="0"/>
              <w:rPr>
                <w:sz w:val="14"/>
                <w:szCs w:val="14"/>
                <w:lang w:val="en-US"/>
              </w:rPr>
            </w:pPr>
            <w:r>
              <w:rPr>
                <w:sz w:val="14"/>
                <w:szCs w:val="14"/>
                <w:lang w:val="en-US"/>
              </w:rPr>
              <w:t>9. The instrument must be capable of collect at mic</w:t>
            </w:r>
            <w:r>
              <w:rPr>
                <w:sz w:val="14"/>
                <w:szCs w:val="14"/>
                <w:lang w:val="en-US"/>
              </w:rPr>
              <w:t xml:space="preserve">rosecond time intervals for phosphorescence applications.  </w:t>
            </w:r>
          </w:p>
          <w:p w14:paraId="79EE6269" w14:textId="77777777" w:rsidR="003527EE" w:rsidRDefault="0006344A">
            <w:pPr>
              <w:widowControl w:val="0"/>
              <w:rPr>
                <w:sz w:val="14"/>
                <w:szCs w:val="14"/>
                <w:lang w:val="en-US"/>
              </w:rPr>
            </w:pPr>
            <w:r>
              <w:rPr>
                <w:sz w:val="14"/>
                <w:szCs w:val="14"/>
                <w:lang w:val="en-US"/>
              </w:rPr>
              <w:t>10. The instrument must add solid sample holder and solid sample prob accessory.</w:t>
            </w:r>
          </w:p>
          <w:p w14:paraId="494246D6" w14:textId="77777777" w:rsidR="003527EE" w:rsidRDefault="0006344A">
            <w:pPr>
              <w:widowControl w:val="0"/>
              <w:rPr>
                <w:sz w:val="14"/>
                <w:szCs w:val="14"/>
                <w:lang w:val="en-US"/>
              </w:rPr>
            </w:pPr>
            <w:r>
              <w:rPr>
                <w:sz w:val="14"/>
                <w:szCs w:val="14"/>
                <w:lang w:val="en-US"/>
              </w:rPr>
              <w:t xml:space="preserve">11. The software must have the ability to measure multiple ramps and within each ramp </w:t>
            </w:r>
          </w:p>
          <w:p w14:paraId="0EA460C7" w14:textId="77777777" w:rsidR="003527EE" w:rsidRDefault="0006344A">
            <w:pPr>
              <w:widowControl w:val="0"/>
              <w:rPr>
                <w:sz w:val="14"/>
                <w:szCs w:val="14"/>
                <w:lang w:val="en-US"/>
              </w:rPr>
            </w:pPr>
            <w:r>
              <w:rPr>
                <w:sz w:val="14"/>
                <w:szCs w:val="14"/>
                <w:lang w:val="en-US"/>
              </w:rPr>
              <w:t>must have the ability to col</w:t>
            </w:r>
            <w:r>
              <w:rPr>
                <w:sz w:val="14"/>
                <w:szCs w:val="14"/>
                <w:lang w:val="en-US"/>
              </w:rPr>
              <w:t xml:space="preserve">lect at different data intervals.  </w:t>
            </w:r>
          </w:p>
          <w:p w14:paraId="53216E62" w14:textId="77777777" w:rsidR="003527EE" w:rsidRDefault="0006344A">
            <w:pPr>
              <w:widowControl w:val="0"/>
              <w:rPr>
                <w:sz w:val="14"/>
                <w:szCs w:val="14"/>
                <w:lang w:val="en-US"/>
              </w:rPr>
            </w:pPr>
            <w:r>
              <w:rPr>
                <w:sz w:val="14"/>
                <w:szCs w:val="14"/>
                <w:lang w:val="en-US"/>
              </w:rPr>
              <w:t>12. The system must be capable of reading microplates for high throughput analysis.</w:t>
            </w:r>
          </w:p>
          <w:p w14:paraId="4494995E" w14:textId="77777777" w:rsidR="003527EE" w:rsidRDefault="0006344A">
            <w:pPr>
              <w:widowControl w:val="0"/>
              <w:rPr>
                <w:sz w:val="14"/>
                <w:szCs w:val="14"/>
                <w:lang w:val="en-US"/>
              </w:rPr>
            </w:pPr>
            <w:r>
              <w:rPr>
                <w:sz w:val="14"/>
                <w:szCs w:val="14"/>
                <w:lang w:val="en-US"/>
              </w:rPr>
              <w:t xml:space="preserve">13. System should supply along with solid sample measuring accessory. </w:t>
            </w:r>
          </w:p>
          <w:p w14:paraId="13CC76FB" w14:textId="77777777" w:rsidR="003527EE" w:rsidRDefault="0006344A">
            <w:pPr>
              <w:widowControl w:val="0"/>
              <w:rPr>
                <w:sz w:val="14"/>
                <w:szCs w:val="14"/>
                <w:lang w:val="en-US"/>
              </w:rPr>
            </w:pPr>
            <w:r>
              <w:rPr>
                <w:sz w:val="14"/>
                <w:szCs w:val="14"/>
                <w:lang w:val="en-US"/>
              </w:rPr>
              <w:t>14. An Extension apparatus should be provided for reaction monito</w:t>
            </w:r>
            <w:r>
              <w:rPr>
                <w:sz w:val="14"/>
                <w:szCs w:val="14"/>
                <w:lang w:val="en-US"/>
              </w:rPr>
              <w:t>ring outside the device body.</w:t>
            </w:r>
          </w:p>
          <w:p w14:paraId="25FD27C5" w14:textId="77777777" w:rsidR="003527EE" w:rsidRDefault="0006344A">
            <w:pPr>
              <w:widowControl w:val="0"/>
              <w:rPr>
                <w:sz w:val="14"/>
                <w:szCs w:val="14"/>
                <w:lang w:val="en-US"/>
              </w:rPr>
            </w:pPr>
            <w:r>
              <w:rPr>
                <w:sz w:val="14"/>
                <w:szCs w:val="14"/>
                <w:lang w:val="en-US"/>
              </w:rPr>
              <w:t>15. Two suitable quartz cells should be provided. Cell properties; Spectral range 200-2,500 nm, optical path lenght: 10x10 mm, Volume: 3500 µl</w:t>
            </w:r>
          </w:p>
          <w:p w14:paraId="7BEB66F6" w14:textId="77777777" w:rsidR="003527EE" w:rsidRDefault="0006344A">
            <w:pPr>
              <w:widowControl w:val="0"/>
              <w:rPr>
                <w:sz w:val="14"/>
                <w:szCs w:val="14"/>
                <w:lang w:val="en-US"/>
              </w:rPr>
            </w:pPr>
            <w:r>
              <w:rPr>
                <w:sz w:val="14"/>
                <w:szCs w:val="14"/>
                <w:lang w:val="en-US"/>
              </w:rPr>
              <w:t>16. Spectrophotometer operating and evaluation software and a computer (Minimum int</w:t>
            </w:r>
            <w:r>
              <w:rPr>
                <w:sz w:val="14"/>
                <w:szCs w:val="14"/>
                <w:lang w:val="en-US"/>
              </w:rPr>
              <w:t>el i5 10th gen or equivalent, Minimum 8 gb Ram and Minimum 250 gb SSD, Minimum  15 inch screen Windows 10 or equivalent) should be provided.</w:t>
            </w:r>
          </w:p>
          <w:p w14:paraId="10D9E6A1" w14:textId="77777777" w:rsidR="003527EE" w:rsidRDefault="0006344A">
            <w:pPr>
              <w:widowControl w:val="0"/>
              <w:rPr>
                <w:sz w:val="14"/>
                <w:szCs w:val="14"/>
                <w:lang w:val="en-US"/>
              </w:rPr>
            </w:pPr>
            <w:r>
              <w:rPr>
                <w:sz w:val="14"/>
                <w:szCs w:val="14"/>
                <w:lang w:val="en-US"/>
              </w:rPr>
              <w:t xml:space="preserve">17. The device should be guaranteed for at least 2 years against any manufacturing and assembly defects. Spare </w:t>
            </w:r>
            <w:r>
              <w:rPr>
                <w:sz w:val="14"/>
                <w:szCs w:val="14"/>
                <w:lang w:val="en-US"/>
              </w:rPr>
              <w:t>parts and service must be guaranteed for 10 years after the end of the warranty period.</w:t>
            </w:r>
          </w:p>
          <w:p w14:paraId="12715A53" w14:textId="77777777" w:rsidR="003527EE" w:rsidRDefault="003527EE">
            <w:pPr>
              <w:widowControl w:val="0"/>
              <w:rPr>
                <w:sz w:val="14"/>
                <w:szCs w:val="14"/>
                <w:lang w:val="en-US"/>
              </w:rPr>
            </w:pPr>
          </w:p>
        </w:tc>
        <w:tc>
          <w:tcPr>
            <w:tcW w:w="4252" w:type="dxa"/>
            <w:tcBorders>
              <w:left w:val="single" w:sz="4" w:space="0" w:color="000000"/>
              <w:bottom w:val="single" w:sz="4" w:space="0" w:color="000000"/>
              <w:right w:val="single" w:sz="4" w:space="0" w:color="000000"/>
            </w:tcBorders>
            <w:vAlign w:val="center"/>
          </w:tcPr>
          <w:p w14:paraId="21A2DF99" w14:textId="77777777" w:rsidR="003527EE" w:rsidRDefault="003527EE">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068A1F7" w14:textId="77777777" w:rsidR="003527EE" w:rsidRDefault="003527EE">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491A28BE" w14:textId="77777777" w:rsidR="003527EE" w:rsidRDefault="003527EE">
            <w:pPr>
              <w:widowControl w:val="0"/>
              <w:tabs>
                <w:tab w:val="left" w:pos="729"/>
              </w:tabs>
              <w:jc w:val="center"/>
              <w:rPr>
                <w:rFonts w:ascii="Times New Roman" w:hAnsi="Times New Roman"/>
                <w:b/>
                <w:lang w:val="en-GB"/>
              </w:rPr>
            </w:pPr>
          </w:p>
        </w:tc>
      </w:tr>
      <w:tr w:rsidR="003527EE" w14:paraId="67BFA382" w14:textId="77777777">
        <w:trPr>
          <w:cantSplit/>
        </w:trPr>
        <w:tc>
          <w:tcPr>
            <w:tcW w:w="1134" w:type="dxa"/>
            <w:tcBorders>
              <w:left w:val="single" w:sz="4" w:space="0" w:color="000000"/>
              <w:bottom w:val="single" w:sz="4" w:space="0" w:color="000000"/>
              <w:right w:val="single" w:sz="4" w:space="0" w:color="000000"/>
            </w:tcBorders>
          </w:tcPr>
          <w:p w14:paraId="2868709B" w14:textId="77777777" w:rsidR="003527EE" w:rsidRDefault="0006344A">
            <w:pPr>
              <w:widowControl w:val="0"/>
              <w:rPr>
                <w:rFonts w:ascii="Times New Roman" w:hAnsi="Times New Roman"/>
                <w:b/>
                <w:lang w:val="en-US"/>
              </w:rPr>
            </w:pPr>
            <w:r>
              <w:rPr>
                <w:rFonts w:ascii="Times New Roman" w:hAnsi="Times New Roman"/>
                <w:b/>
                <w:lang w:val="en-US"/>
              </w:rPr>
              <w:lastRenderedPageBreak/>
              <w:t>3</w:t>
            </w:r>
          </w:p>
        </w:tc>
        <w:tc>
          <w:tcPr>
            <w:tcW w:w="4678" w:type="dxa"/>
            <w:tcBorders>
              <w:left w:val="single" w:sz="4" w:space="0" w:color="000000"/>
              <w:bottom w:val="single" w:sz="4" w:space="0" w:color="000000"/>
              <w:right w:val="single" w:sz="4" w:space="0" w:color="000000"/>
            </w:tcBorders>
            <w:vAlign w:val="center"/>
          </w:tcPr>
          <w:p w14:paraId="49B4A0C8" w14:textId="77777777" w:rsidR="003527EE" w:rsidRDefault="0006344A">
            <w:pPr>
              <w:widowControl w:val="0"/>
              <w:rPr>
                <w:sz w:val="14"/>
                <w:szCs w:val="14"/>
                <w:lang w:val="en-US"/>
              </w:rPr>
            </w:pPr>
            <w:r>
              <w:rPr>
                <w:sz w:val="14"/>
                <w:szCs w:val="14"/>
                <w:lang w:val="en-US"/>
              </w:rPr>
              <w:t>FTIR spectrometer for polymer analysis (1 peace)</w:t>
            </w:r>
          </w:p>
          <w:p w14:paraId="3188F485" w14:textId="77777777" w:rsidR="003527EE" w:rsidRDefault="0006344A">
            <w:pPr>
              <w:widowControl w:val="0"/>
              <w:rPr>
                <w:sz w:val="14"/>
                <w:szCs w:val="14"/>
                <w:lang w:val="en-US"/>
              </w:rPr>
            </w:pPr>
            <w:r>
              <w:rPr>
                <w:sz w:val="14"/>
                <w:szCs w:val="14"/>
                <w:lang w:val="en-US"/>
              </w:rPr>
              <w:t>1. The system must be sealed and removed from moisture. It should not need to purge with any gas.</w:t>
            </w:r>
          </w:p>
          <w:p w14:paraId="6E196050" w14:textId="77777777" w:rsidR="003527EE" w:rsidRDefault="0006344A">
            <w:pPr>
              <w:widowControl w:val="0"/>
              <w:rPr>
                <w:sz w:val="14"/>
                <w:szCs w:val="14"/>
                <w:lang w:val="en-US"/>
              </w:rPr>
            </w:pPr>
            <w:r>
              <w:rPr>
                <w:sz w:val="14"/>
                <w:szCs w:val="14"/>
                <w:lang w:val="en-US"/>
              </w:rPr>
              <w:t>2. FTIR spectr</w:t>
            </w:r>
            <w:r>
              <w:rPr>
                <w:sz w:val="14"/>
                <w:szCs w:val="14"/>
                <w:lang w:val="en-US"/>
              </w:rPr>
              <w:t>ometer for polymer analysis should be library of ATR-FTIR polymer spectrums and additives (ATR Polymers and Polymer Additives), specifically formatted for FTIR.</w:t>
            </w:r>
          </w:p>
          <w:p w14:paraId="5E90E0A3" w14:textId="77777777" w:rsidR="003527EE" w:rsidRDefault="0006344A">
            <w:pPr>
              <w:widowControl w:val="0"/>
              <w:rPr>
                <w:sz w:val="14"/>
                <w:szCs w:val="14"/>
                <w:lang w:val="en-US"/>
              </w:rPr>
            </w:pPr>
            <w:r>
              <w:rPr>
                <w:sz w:val="14"/>
                <w:szCs w:val="14"/>
                <w:lang w:val="en-US"/>
              </w:rPr>
              <w:t>3. The standard spectral resolution of the system should be less than 2 cm-1.</w:t>
            </w:r>
          </w:p>
          <w:p w14:paraId="7706A58D" w14:textId="77777777" w:rsidR="003527EE" w:rsidRDefault="0006344A">
            <w:pPr>
              <w:widowControl w:val="0"/>
              <w:rPr>
                <w:sz w:val="14"/>
                <w:szCs w:val="14"/>
                <w:lang w:val="en-US"/>
              </w:rPr>
            </w:pPr>
            <w:r>
              <w:rPr>
                <w:sz w:val="14"/>
                <w:szCs w:val="14"/>
                <w:lang w:val="en-US"/>
              </w:rPr>
              <w:t>4 Spectrometer sh</w:t>
            </w:r>
            <w:r>
              <w:rPr>
                <w:sz w:val="14"/>
                <w:szCs w:val="14"/>
                <w:lang w:val="en-US"/>
              </w:rPr>
              <w:t>ould be able to work between 4000 cm-1 and 400 cm-1.</w:t>
            </w:r>
          </w:p>
          <w:p w14:paraId="550A1858" w14:textId="77777777" w:rsidR="003527EE" w:rsidRDefault="0006344A">
            <w:pPr>
              <w:widowControl w:val="0"/>
              <w:rPr>
                <w:sz w:val="14"/>
                <w:szCs w:val="14"/>
                <w:lang w:val="en-US"/>
              </w:rPr>
            </w:pPr>
            <w:r>
              <w:rPr>
                <w:sz w:val="14"/>
                <w:szCs w:val="14"/>
                <w:lang w:val="en-US"/>
              </w:rPr>
              <w:t>5. Communication between spectrometer and computer should be provided via USB port without needing any interface card.</w:t>
            </w:r>
          </w:p>
          <w:p w14:paraId="7F54C733" w14:textId="77777777" w:rsidR="003527EE" w:rsidRDefault="0006344A">
            <w:pPr>
              <w:widowControl w:val="0"/>
              <w:rPr>
                <w:sz w:val="14"/>
                <w:szCs w:val="14"/>
                <w:lang w:val="en-US"/>
              </w:rPr>
            </w:pPr>
            <w:r>
              <w:rPr>
                <w:sz w:val="14"/>
                <w:szCs w:val="14"/>
                <w:lang w:val="en-US"/>
              </w:rPr>
              <w:t>6. The system should have Diamond ATR unit.</w:t>
            </w:r>
          </w:p>
          <w:p w14:paraId="726AEA8F" w14:textId="77777777" w:rsidR="003527EE" w:rsidRDefault="0006344A">
            <w:pPr>
              <w:widowControl w:val="0"/>
              <w:rPr>
                <w:sz w:val="14"/>
                <w:szCs w:val="14"/>
                <w:lang w:val="en-US"/>
              </w:rPr>
            </w:pPr>
            <w:r>
              <w:rPr>
                <w:sz w:val="14"/>
                <w:szCs w:val="14"/>
                <w:lang w:val="en-US"/>
              </w:rPr>
              <w:t xml:space="preserve">7. Spectrometer should use 24-bit </w:t>
            </w:r>
            <w:r>
              <w:rPr>
                <w:sz w:val="14"/>
                <w:szCs w:val="14"/>
                <w:lang w:val="en-US"/>
              </w:rPr>
              <w:t>delta-sigma A / D converter.</w:t>
            </w:r>
          </w:p>
          <w:p w14:paraId="0AB553AF" w14:textId="77777777" w:rsidR="003527EE" w:rsidRDefault="0006344A">
            <w:pPr>
              <w:widowControl w:val="0"/>
              <w:rPr>
                <w:sz w:val="14"/>
                <w:szCs w:val="14"/>
                <w:lang w:val="en-US"/>
              </w:rPr>
            </w:pPr>
            <w:r>
              <w:rPr>
                <w:sz w:val="14"/>
                <w:szCs w:val="14"/>
                <w:lang w:val="en-US"/>
              </w:rPr>
              <w:t>8. The system should be compatible for units such as ATR, Transmission, diffuse reflectance, and these units should be easily installed and removed.</w:t>
            </w:r>
          </w:p>
          <w:p w14:paraId="69580B0E" w14:textId="77777777" w:rsidR="003527EE" w:rsidRDefault="0006344A">
            <w:pPr>
              <w:widowControl w:val="0"/>
              <w:rPr>
                <w:sz w:val="14"/>
                <w:szCs w:val="14"/>
                <w:lang w:val="en-US"/>
              </w:rPr>
            </w:pPr>
            <w:r>
              <w:rPr>
                <w:sz w:val="14"/>
                <w:szCs w:val="14"/>
                <w:lang w:val="en-US"/>
              </w:rPr>
              <w:t>9. At least five (5) years lifespan for the interferometry and laser source of</w:t>
            </w:r>
            <w:r>
              <w:rPr>
                <w:sz w:val="14"/>
                <w:szCs w:val="14"/>
                <w:lang w:val="en-US"/>
              </w:rPr>
              <w:t xml:space="preserve"> the system and at least three (3) years for the light source provided</w:t>
            </w:r>
          </w:p>
          <w:p w14:paraId="71AD17E9" w14:textId="77777777" w:rsidR="003527EE" w:rsidRDefault="0006344A">
            <w:pPr>
              <w:jc w:val="both"/>
              <w:rPr>
                <w:sz w:val="14"/>
                <w:szCs w:val="14"/>
              </w:rPr>
            </w:pPr>
            <w:r>
              <w:rPr>
                <w:sz w:val="14"/>
                <w:szCs w:val="14"/>
                <w:lang w:val="en-US"/>
              </w:rPr>
              <w:t>10 The software of the device should work with Win 10 or equivalent, operating system and computer system should be included.</w:t>
            </w:r>
          </w:p>
          <w:p w14:paraId="187B4134" w14:textId="77777777" w:rsidR="003527EE" w:rsidRDefault="0006344A">
            <w:pPr>
              <w:jc w:val="both"/>
              <w:rPr>
                <w:sz w:val="14"/>
                <w:szCs w:val="14"/>
              </w:rPr>
            </w:pPr>
            <w:r>
              <w:rPr>
                <w:sz w:val="14"/>
                <w:szCs w:val="14"/>
                <w:lang w:val="en-US"/>
              </w:rPr>
              <w:t xml:space="preserve">11. Device should be compatible with liquid samples or Liquid sample apparatus should be added without device changes (in plug-in </w:t>
            </w:r>
            <w:r>
              <w:rPr>
                <w:sz w:val="14"/>
                <w:szCs w:val="14"/>
                <w:lang w:val="en-US"/>
              </w:rPr>
              <w:t>/ plug accessory form) and the software should recognize them automatically.</w:t>
            </w:r>
          </w:p>
          <w:p w14:paraId="4B812F99" w14:textId="77777777" w:rsidR="003527EE" w:rsidRDefault="0006344A">
            <w:pPr>
              <w:jc w:val="both"/>
              <w:rPr>
                <w:sz w:val="14"/>
                <w:szCs w:val="14"/>
              </w:rPr>
            </w:pPr>
            <w:r>
              <w:rPr>
                <w:sz w:val="14"/>
                <w:szCs w:val="14"/>
                <w:lang w:val="en-US"/>
              </w:rPr>
              <w:t>12. The device should be guaranteed for 2 years and 10 years parts support should be provided in return of its fee.</w:t>
            </w:r>
          </w:p>
          <w:p w14:paraId="360BD3E7" w14:textId="77777777" w:rsidR="003527EE" w:rsidRDefault="003527EE">
            <w:pPr>
              <w:widowControl w:val="0"/>
              <w:jc w:val="both"/>
              <w:rPr>
                <w:lang w:val="en-US"/>
              </w:rPr>
            </w:pPr>
          </w:p>
        </w:tc>
        <w:tc>
          <w:tcPr>
            <w:tcW w:w="4252" w:type="dxa"/>
            <w:tcBorders>
              <w:left w:val="single" w:sz="4" w:space="0" w:color="000000"/>
              <w:bottom w:val="single" w:sz="4" w:space="0" w:color="000000"/>
              <w:right w:val="single" w:sz="4" w:space="0" w:color="000000"/>
            </w:tcBorders>
            <w:vAlign w:val="center"/>
          </w:tcPr>
          <w:p w14:paraId="7ECD1E27" w14:textId="77777777" w:rsidR="003527EE" w:rsidRDefault="003527EE">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1E0ACB2F" w14:textId="77777777" w:rsidR="003527EE" w:rsidRDefault="003527EE">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F219E39" w14:textId="77777777" w:rsidR="003527EE" w:rsidRDefault="003527EE">
            <w:pPr>
              <w:widowControl w:val="0"/>
              <w:tabs>
                <w:tab w:val="left" w:pos="729"/>
              </w:tabs>
              <w:jc w:val="center"/>
              <w:rPr>
                <w:rFonts w:ascii="Times New Roman" w:hAnsi="Times New Roman"/>
                <w:b/>
                <w:lang w:val="en-GB"/>
              </w:rPr>
            </w:pPr>
          </w:p>
        </w:tc>
      </w:tr>
      <w:tr w:rsidR="003527EE" w14:paraId="365F6127" w14:textId="77777777">
        <w:trPr>
          <w:cantSplit/>
        </w:trPr>
        <w:tc>
          <w:tcPr>
            <w:tcW w:w="1134" w:type="dxa"/>
            <w:tcBorders>
              <w:left w:val="single" w:sz="4" w:space="0" w:color="000000"/>
              <w:bottom w:val="single" w:sz="4" w:space="0" w:color="000000"/>
              <w:right w:val="single" w:sz="4" w:space="0" w:color="000000"/>
            </w:tcBorders>
          </w:tcPr>
          <w:p w14:paraId="3DF091E9" w14:textId="77777777" w:rsidR="003527EE" w:rsidRDefault="0006344A">
            <w:pPr>
              <w:widowControl w:val="0"/>
              <w:rPr>
                <w:rFonts w:ascii="Times New Roman" w:hAnsi="Times New Roman"/>
                <w:b/>
                <w:lang w:val="en-US"/>
              </w:rPr>
            </w:pPr>
            <w:r>
              <w:rPr>
                <w:rFonts w:ascii="Times New Roman" w:hAnsi="Times New Roman"/>
                <w:b/>
                <w:lang w:val="en-US"/>
              </w:rPr>
              <w:lastRenderedPageBreak/>
              <w:t>4</w:t>
            </w:r>
          </w:p>
        </w:tc>
        <w:tc>
          <w:tcPr>
            <w:tcW w:w="4678" w:type="dxa"/>
            <w:tcBorders>
              <w:left w:val="single" w:sz="4" w:space="0" w:color="000000"/>
              <w:bottom w:val="single" w:sz="4" w:space="0" w:color="000000"/>
              <w:right w:val="single" w:sz="4" w:space="0" w:color="000000"/>
            </w:tcBorders>
            <w:vAlign w:val="center"/>
          </w:tcPr>
          <w:p w14:paraId="511A6FC2" w14:textId="77777777" w:rsidR="003527EE" w:rsidRDefault="0006344A">
            <w:pPr>
              <w:widowControl w:val="0"/>
              <w:rPr>
                <w:sz w:val="14"/>
                <w:szCs w:val="14"/>
                <w:lang w:val="en-US"/>
              </w:rPr>
            </w:pPr>
            <w:r>
              <w:rPr>
                <w:sz w:val="14"/>
                <w:szCs w:val="14"/>
                <w:lang w:val="en-US"/>
              </w:rPr>
              <w:t xml:space="preserve">Schlenk line system – 1 pcs. </w:t>
            </w:r>
          </w:p>
          <w:p w14:paraId="7E3E56B1" w14:textId="77777777" w:rsidR="003527EE" w:rsidRDefault="0006344A">
            <w:pPr>
              <w:widowControl w:val="0"/>
              <w:rPr>
                <w:sz w:val="14"/>
                <w:szCs w:val="14"/>
                <w:lang w:val="en-US"/>
              </w:rPr>
            </w:pPr>
            <w:r>
              <w:rPr>
                <w:sz w:val="14"/>
                <w:szCs w:val="14"/>
                <w:lang w:val="en-US"/>
              </w:rPr>
              <w:t xml:space="preserve">1. The set-up </w:t>
            </w:r>
            <w:r>
              <w:rPr>
                <w:color w:val="000000"/>
                <w:sz w:val="14"/>
                <w:szCs w:val="14"/>
                <w:lang w:val="en-US"/>
              </w:rPr>
              <w:t xml:space="preserve">shall </w:t>
            </w:r>
            <w:r>
              <w:rPr>
                <w:sz w:val="14"/>
                <w:szCs w:val="14"/>
                <w:lang w:val="en-US"/>
              </w:rPr>
              <w:t>be del</w:t>
            </w:r>
            <w:r>
              <w:rPr>
                <w:sz w:val="14"/>
                <w:szCs w:val="14"/>
                <w:lang w:val="en-US"/>
              </w:rPr>
              <w:t>ivered as a set with all the accessories requested.</w:t>
            </w:r>
          </w:p>
          <w:p w14:paraId="3890AFC0" w14:textId="77777777" w:rsidR="003527EE" w:rsidRDefault="0006344A">
            <w:pPr>
              <w:widowControl w:val="0"/>
              <w:rPr>
                <w:sz w:val="14"/>
                <w:szCs w:val="14"/>
                <w:lang w:val="en-US"/>
              </w:rPr>
            </w:pPr>
            <w:r>
              <w:rPr>
                <w:sz w:val="14"/>
                <w:szCs w:val="14"/>
                <w:lang w:val="en-US"/>
              </w:rPr>
              <w:t>2. The contents of the device, 4-way and 2-way N2 / vacuum interchangeable rack with glass dimensions height 19 cm, length 50 cm, double cooling trap with a capacity of 500 ml will be given with connectio</w:t>
            </w:r>
            <w:r>
              <w:rPr>
                <w:sz w:val="14"/>
                <w:szCs w:val="14"/>
                <w:lang w:val="en-US"/>
              </w:rPr>
              <w:t>n apparatus and all flanges for transition between this cooling trap.</w:t>
            </w:r>
          </w:p>
          <w:p w14:paraId="21B31E83" w14:textId="77777777" w:rsidR="003527EE" w:rsidRDefault="0006344A">
            <w:pPr>
              <w:widowControl w:val="0"/>
              <w:rPr>
                <w:sz w:val="14"/>
                <w:szCs w:val="14"/>
                <w:lang w:val="en-US"/>
              </w:rPr>
            </w:pPr>
            <w:r>
              <w:rPr>
                <w:sz w:val="14"/>
                <w:szCs w:val="14"/>
                <w:lang w:val="en-US"/>
              </w:rPr>
              <w:t>3. Device holder stand for glassware should be provided.</w:t>
            </w:r>
          </w:p>
          <w:p w14:paraId="6FA63F2F" w14:textId="77777777" w:rsidR="003527EE" w:rsidRDefault="0006344A">
            <w:pPr>
              <w:widowControl w:val="0"/>
              <w:rPr>
                <w:sz w:val="14"/>
                <w:szCs w:val="14"/>
                <w:lang w:val="en-US"/>
              </w:rPr>
            </w:pPr>
            <w:r>
              <w:rPr>
                <w:sz w:val="14"/>
                <w:szCs w:val="14"/>
                <w:lang w:val="en-US"/>
              </w:rPr>
              <w:t>4. The device must be of oily type and made of chemical resistant material.</w:t>
            </w:r>
          </w:p>
          <w:p w14:paraId="57D2E5BC" w14:textId="77777777" w:rsidR="003527EE" w:rsidRDefault="0006344A">
            <w:pPr>
              <w:widowControl w:val="0"/>
              <w:rPr>
                <w:sz w:val="14"/>
                <w:szCs w:val="14"/>
                <w:lang w:val="en-US"/>
              </w:rPr>
            </w:pPr>
            <w:r>
              <w:rPr>
                <w:sz w:val="14"/>
                <w:szCs w:val="14"/>
                <w:lang w:val="en-US"/>
              </w:rPr>
              <w:t xml:space="preserve">5. The volume flow rate of the device should be </w:t>
            </w:r>
            <w:r>
              <w:rPr>
                <w:sz w:val="14"/>
                <w:szCs w:val="14"/>
                <w:lang w:val="en-US"/>
              </w:rPr>
              <w:t>between 5-10 m3 / s.</w:t>
            </w:r>
          </w:p>
          <w:p w14:paraId="50C43A48" w14:textId="77777777" w:rsidR="003527EE" w:rsidRDefault="0006344A">
            <w:pPr>
              <w:widowControl w:val="0"/>
              <w:rPr>
                <w:sz w:val="14"/>
                <w:szCs w:val="14"/>
                <w:lang w:val="en-US"/>
              </w:rPr>
            </w:pPr>
            <w:r>
              <w:rPr>
                <w:sz w:val="14"/>
                <w:szCs w:val="14"/>
                <w:lang w:val="en-US"/>
              </w:rPr>
              <w:t>6. Device should have vacuum pump and vacuum of the device is should between 1x 10-3- 5 10-3- mmHg</w:t>
            </w:r>
          </w:p>
          <w:p w14:paraId="12FCC5F5" w14:textId="77777777" w:rsidR="003527EE" w:rsidRDefault="0006344A">
            <w:pPr>
              <w:widowControl w:val="0"/>
              <w:rPr>
                <w:sz w:val="14"/>
                <w:szCs w:val="14"/>
                <w:lang w:val="en-US"/>
              </w:rPr>
            </w:pPr>
            <w:r>
              <w:rPr>
                <w:sz w:val="14"/>
                <w:szCs w:val="14"/>
                <w:lang w:val="en-US"/>
              </w:rPr>
              <w:t>7. Oil mist filter and isolation valve should be provided with the device.</w:t>
            </w:r>
          </w:p>
          <w:p w14:paraId="06430DC4" w14:textId="77777777" w:rsidR="003527EE" w:rsidRDefault="0006344A">
            <w:pPr>
              <w:widowControl w:val="0"/>
              <w:rPr>
                <w:sz w:val="14"/>
                <w:szCs w:val="14"/>
                <w:lang w:val="en-US"/>
              </w:rPr>
            </w:pPr>
            <w:r>
              <w:rPr>
                <w:sz w:val="14"/>
                <w:szCs w:val="14"/>
                <w:lang w:val="en-US"/>
              </w:rPr>
              <w:t xml:space="preserve">8. Adjustable Vacuum regulator should be provided.     </w:t>
            </w:r>
          </w:p>
        </w:tc>
        <w:tc>
          <w:tcPr>
            <w:tcW w:w="4252" w:type="dxa"/>
            <w:tcBorders>
              <w:left w:val="single" w:sz="4" w:space="0" w:color="000000"/>
              <w:bottom w:val="single" w:sz="4" w:space="0" w:color="000000"/>
              <w:right w:val="single" w:sz="4" w:space="0" w:color="000000"/>
            </w:tcBorders>
            <w:vAlign w:val="center"/>
          </w:tcPr>
          <w:p w14:paraId="5573CFCD" w14:textId="77777777" w:rsidR="003527EE" w:rsidRDefault="003527EE">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6F7BCC5" w14:textId="77777777" w:rsidR="003527EE" w:rsidRDefault="003527EE">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911AE79" w14:textId="77777777" w:rsidR="003527EE" w:rsidRDefault="003527EE">
            <w:pPr>
              <w:widowControl w:val="0"/>
              <w:tabs>
                <w:tab w:val="left" w:pos="729"/>
              </w:tabs>
              <w:jc w:val="center"/>
              <w:rPr>
                <w:rFonts w:ascii="Times New Roman" w:hAnsi="Times New Roman"/>
                <w:b/>
                <w:lang w:val="en-GB"/>
              </w:rPr>
            </w:pPr>
          </w:p>
        </w:tc>
      </w:tr>
      <w:tr w:rsidR="003527EE" w14:paraId="6C4A8748" w14:textId="77777777">
        <w:trPr>
          <w:cantSplit/>
        </w:trPr>
        <w:tc>
          <w:tcPr>
            <w:tcW w:w="1134" w:type="dxa"/>
            <w:tcBorders>
              <w:left w:val="single" w:sz="4" w:space="0" w:color="000000"/>
              <w:bottom w:val="single" w:sz="4" w:space="0" w:color="000000"/>
              <w:right w:val="single" w:sz="4" w:space="0" w:color="000000"/>
            </w:tcBorders>
          </w:tcPr>
          <w:p w14:paraId="041EDF20" w14:textId="77777777" w:rsidR="003527EE" w:rsidRDefault="0006344A">
            <w:pPr>
              <w:widowControl w:val="0"/>
              <w:rPr>
                <w:rFonts w:ascii="Times New Roman" w:hAnsi="Times New Roman"/>
                <w:b/>
                <w:lang w:val="en-US"/>
              </w:rPr>
            </w:pPr>
            <w:r>
              <w:rPr>
                <w:rFonts w:ascii="Times New Roman" w:hAnsi="Times New Roman"/>
                <w:b/>
                <w:lang w:val="en-US"/>
              </w:rPr>
              <w:lastRenderedPageBreak/>
              <w:t>5</w:t>
            </w:r>
          </w:p>
        </w:tc>
        <w:tc>
          <w:tcPr>
            <w:tcW w:w="4678" w:type="dxa"/>
            <w:tcBorders>
              <w:left w:val="single" w:sz="4" w:space="0" w:color="000000"/>
              <w:bottom w:val="single" w:sz="4" w:space="0" w:color="000000"/>
              <w:right w:val="single" w:sz="4" w:space="0" w:color="000000"/>
            </w:tcBorders>
            <w:vAlign w:val="center"/>
          </w:tcPr>
          <w:p w14:paraId="2F628CD1" w14:textId="77777777" w:rsidR="003527EE" w:rsidRDefault="0006344A">
            <w:pPr>
              <w:jc w:val="both"/>
              <w:rPr>
                <w:sz w:val="14"/>
                <w:szCs w:val="14"/>
              </w:rPr>
            </w:pPr>
            <w:r>
              <w:rPr>
                <w:b/>
                <w:bCs/>
                <w:sz w:val="14"/>
                <w:szCs w:val="14"/>
                <w:lang w:val="en-US"/>
              </w:rPr>
              <w:t>UV-VIS SPECTROMETER (1 peace)</w:t>
            </w:r>
          </w:p>
          <w:p w14:paraId="72C0FE9F" w14:textId="77777777" w:rsidR="003527EE" w:rsidRDefault="0006344A">
            <w:pPr>
              <w:jc w:val="both"/>
              <w:rPr>
                <w:sz w:val="14"/>
                <w:szCs w:val="14"/>
              </w:rPr>
            </w:pPr>
            <w:r>
              <w:rPr>
                <w:sz w:val="14"/>
                <w:szCs w:val="14"/>
                <w:lang w:val="en-US"/>
              </w:rPr>
              <w:t>1.</w:t>
            </w:r>
            <w:r>
              <w:rPr>
                <w:sz w:val="14"/>
                <w:szCs w:val="14"/>
                <w:lang w:val="en-US"/>
              </w:rPr>
              <w:tab/>
              <w:t>The instrument must be capable of multiple data collection modes (single wavelength, scanning and kinetics modes)</w:t>
            </w:r>
          </w:p>
          <w:p w14:paraId="70F50BA6" w14:textId="77777777" w:rsidR="003527EE" w:rsidRDefault="0006344A">
            <w:pPr>
              <w:jc w:val="both"/>
              <w:rPr>
                <w:sz w:val="14"/>
                <w:szCs w:val="14"/>
              </w:rPr>
            </w:pPr>
            <w:r>
              <w:rPr>
                <w:sz w:val="14"/>
                <w:szCs w:val="14"/>
                <w:lang w:val="en-US"/>
              </w:rPr>
              <w:t>2.</w:t>
            </w:r>
            <w:r>
              <w:rPr>
                <w:sz w:val="14"/>
                <w:szCs w:val="14"/>
                <w:lang w:val="en-US"/>
              </w:rPr>
              <w:tab/>
            </w:r>
            <w:r>
              <w:rPr>
                <w:sz w:val="14"/>
                <w:szCs w:val="14"/>
                <w:lang w:val="en-US"/>
              </w:rPr>
              <w:t>The instrument must be a Xenon flash lamp-based instrument that has room light immunity allowing samples to be measured, or accessories to used, without closing the sample compartment lid.  The Xenon flash lamp will also minimize photo-bleaching of any sam</w:t>
            </w:r>
            <w:r>
              <w:rPr>
                <w:sz w:val="14"/>
                <w:szCs w:val="14"/>
                <w:lang w:val="en-US"/>
              </w:rPr>
              <w:t xml:space="preserve">ples and must also flash at 80 Hz to allow fast data collection.   </w:t>
            </w:r>
          </w:p>
          <w:p w14:paraId="03CCE31C" w14:textId="77777777" w:rsidR="003527EE" w:rsidRDefault="0006344A">
            <w:pPr>
              <w:jc w:val="both"/>
              <w:rPr>
                <w:sz w:val="14"/>
                <w:szCs w:val="14"/>
              </w:rPr>
            </w:pPr>
            <w:r>
              <w:rPr>
                <w:sz w:val="14"/>
                <w:szCs w:val="14"/>
                <w:lang w:val="en-US"/>
              </w:rPr>
              <w:t>3.</w:t>
            </w:r>
            <w:r>
              <w:rPr>
                <w:sz w:val="14"/>
                <w:szCs w:val="14"/>
                <w:lang w:val="en-US"/>
              </w:rPr>
              <w:tab/>
              <w:t>The lamp will only illuminate when taking a reading saving energy and maximizing lamp life when compared to other deuterium lamp (D2) systems.</w:t>
            </w:r>
          </w:p>
          <w:p w14:paraId="663149C4" w14:textId="77777777" w:rsidR="003527EE" w:rsidRDefault="0006344A">
            <w:pPr>
              <w:jc w:val="both"/>
              <w:rPr>
                <w:sz w:val="14"/>
                <w:szCs w:val="14"/>
              </w:rPr>
            </w:pPr>
            <w:r>
              <w:rPr>
                <w:sz w:val="14"/>
                <w:szCs w:val="14"/>
                <w:lang w:val="en-US"/>
              </w:rPr>
              <w:t>4.</w:t>
            </w:r>
            <w:r>
              <w:rPr>
                <w:sz w:val="14"/>
                <w:szCs w:val="14"/>
                <w:lang w:val="en-US"/>
              </w:rPr>
              <w:tab/>
              <w:t>Scan rates of between 20000-30000 nm/mi</w:t>
            </w:r>
            <w:r>
              <w:rPr>
                <w:sz w:val="14"/>
                <w:szCs w:val="14"/>
                <w:lang w:val="en-US"/>
              </w:rPr>
              <w:t>n without wavelength shift.</w:t>
            </w:r>
          </w:p>
          <w:p w14:paraId="0BE7BE92" w14:textId="77777777" w:rsidR="003527EE" w:rsidRDefault="0006344A">
            <w:pPr>
              <w:jc w:val="both"/>
              <w:rPr>
                <w:sz w:val="14"/>
                <w:szCs w:val="14"/>
              </w:rPr>
            </w:pPr>
            <w:r>
              <w:rPr>
                <w:sz w:val="14"/>
                <w:szCs w:val="14"/>
                <w:lang w:val="en-US"/>
              </w:rPr>
              <w:t>5.</w:t>
            </w:r>
            <w:r>
              <w:rPr>
                <w:sz w:val="14"/>
                <w:szCs w:val="14"/>
                <w:lang w:val="en-US"/>
              </w:rPr>
              <w:tab/>
              <w:t>Data collection up to between 60-100 data points/second for single wavelength kinetics measurements.</w:t>
            </w:r>
          </w:p>
          <w:p w14:paraId="54869CC3" w14:textId="77777777" w:rsidR="003527EE" w:rsidRDefault="0006344A">
            <w:pPr>
              <w:jc w:val="both"/>
              <w:rPr>
                <w:sz w:val="14"/>
                <w:szCs w:val="14"/>
              </w:rPr>
            </w:pPr>
            <w:r>
              <w:rPr>
                <w:sz w:val="14"/>
                <w:szCs w:val="14"/>
                <w:lang w:val="en-US"/>
              </w:rPr>
              <w:t>6.</w:t>
            </w:r>
            <w:r>
              <w:rPr>
                <w:sz w:val="14"/>
                <w:szCs w:val="14"/>
                <w:lang w:val="en-US"/>
              </w:rPr>
              <w:tab/>
              <w:t xml:space="preserve"> The spectrophotometer should be operated using either a desktop computer or a laptop, connecting via a USB cable.</w:t>
            </w:r>
          </w:p>
          <w:p w14:paraId="4B38C7BF" w14:textId="77777777" w:rsidR="003527EE" w:rsidRDefault="0006344A">
            <w:pPr>
              <w:jc w:val="both"/>
              <w:rPr>
                <w:sz w:val="14"/>
                <w:szCs w:val="14"/>
              </w:rPr>
            </w:pPr>
            <w:r>
              <w:rPr>
                <w:sz w:val="14"/>
                <w:szCs w:val="14"/>
                <w:lang w:val="en-US"/>
              </w:rPr>
              <w:t>7.</w:t>
            </w:r>
            <w:r>
              <w:rPr>
                <w:sz w:val="14"/>
                <w:szCs w:val="14"/>
                <w:lang w:val="en-US"/>
              </w:rPr>
              <w:tab/>
              <w:t xml:space="preserve">A </w:t>
            </w:r>
            <w:r>
              <w:rPr>
                <w:sz w:val="14"/>
                <w:szCs w:val="14"/>
                <w:lang w:val="en-US"/>
              </w:rPr>
              <w:t>suitable branded PC and Windows 10 based software or equivalent, for full reporting options should be quoted.</w:t>
            </w:r>
          </w:p>
          <w:p w14:paraId="5C53BB3C" w14:textId="77777777" w:rsidR="003527EE" w:rsidRDefault="0006344A">
            <w:pPr>
              <w:jc w:val="both"/>
              <w:rPr>
                <w:sz w:val="14"/>
                <w:szCs w:val="14"/>
              </w:rPr>
            </w:pPr>
            <w:r>
              <w:rPr>
                <w:sz w:val="14"/>
                <w:szCs w:val="14"/>
                <w:lang w:val="en-US"/>
              </w:rPr>
              <w:t>8.</w:t>
            </w:r>
            <w:r>
              <w:rPr>
                <w:sz w:val="14"/>
                <w:szCs w:val="14"/>
                <w:lang w:val="en-US"/>
              </w:rPr>
              <w:tab/>
              <w:t xml:space="preserve">Ease of use – simple installation and tutorials on how to use software applications for a wide range of users. </w:t>
            </w:r>
          </w:p>
          <w:p w14:paraId="1342C644" w14:textId="77777777" w:rsidR="003527EE" w:rsidRDefault="0006344A">
            <w:pPr>
              <w:jc w:val="both"/>
              <w:rPr>
                <w:lang w:val="en-US"/>
              </w:rPr>
            </w:pPr>
            <w:r>
              <w:rPr>
                <w:sz w:val="14"/>
                <w:szCs w:val="14"/>
                <w:lang w:val="en-US"/>
              </w:rPr>
              <w:t>9. Two suitable quartz cells sh</w:t>
            </w:r>
            <w:r>
              <w:rPr>
                <w:sz w:val="14"/>
                <w:szCs w:val="14"/>
                <w:lang w:val="en-US"/>
              </w:rPr>
              <w:t xml:space="preserve">ould be provided. Cell properties; Spectral range 200-2,500 nm, optical path length: 10 mm, Volume: 3500 µl  </w:t>
            </w:r>
            <w:r>
              <w:rPr>
                <w:lang w:val="en-US"/>
              </w:rPr>
              <w:t xml:space="preserve">   </w:t>
            </w:r>
          </w:p>
          <w:p w14:paraId="03BCCD8A" w14:textId="77777777" w:rsidR="003527EE" w:rsidRDefault="0006344A">
            <w:pPr>
              <w:widowControl w:val="0"/>
              <w:jc w:val="both"/>
              <w:rPr>
                <w:sz w:val="14"/>
                <w:szCs w:val="14"/>
                <w:lang w:val="en-US"/>
              </w:rPr>
            </w:pPr>
            <w:r>
              <w:rPr>
                <w:sz w:val="14"/>
                <w:szCs w:val="14"/>
                <w:lang w:val="en-US"/>
              </w:rPr>
              <w:t>10.</w:t>
            </w:r>
            <w:r>
              <w:rPr>
                <w:sz w:val="14"/>
                <w:szCs w:val="14"/>
                <w:lang w:val="en-US"/>
              </w:rPr>
              <w:tab/>
              <w:t>Instrument should be upgradable for diffuse reflectance accessory as well as micro sample facilities in future.</w:t>
            </w:r>
          </w:p>
          <w:p w14:paraId="7D25C866" w14:textId="77777777" w:rsidR="003527EE" w:rsidRDefault="0006344A">
            <w:pPr>
              <w:widowControl w:val="0"/>
              <w:jc w:val="both"/>
              <w:rPr>
                <w:sz w:val="14"/>
                <w:szCs w:val="14"/>
                <w:lang w:val="en-US"/>
              </w:rPr>
            </w:pPr>
            <w:r>
              <w:rPr>
                <w:sz w:val="14"/>
                <w:szCs w:val="14"/>
                <w:lang w:val="en-US"/>
              </w:rPr>
              <w:t>11.The device should be gua</w:t>
            </w:r>
            <w:r>
              <w:rPr>
                <w:sz w:val="14"/>
                <w:szCs w:val="14"/>
                <w:lang w:val="en-US"/>
              </w:rPr>
              <w:t>ranteed for at least 2 year against any 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2D85E3C5" w14:textId="77777777" w:rsidR="003527EE" w:rsidRDefault="003527EE">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47FDA02" w14:textId="77777777" w:rsidR="003527EE" w:rsidRDefault="003527EE">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37DB1F3F" w14:textId="77777777" w:rsidR="003527EE" w:rsidRDefault="003527EE">
            <w:pPr>
              <w:widowControl w:val="0"/>
              <w:tabs>
                <w:tab w:val="left" w:pos="729"/>
              </w:tabs>
              <w:jc w:val="center"/>
              <w:rPr>
                <w:rFonts w:ascii="Times New Roman" w:hAnsi="Times New Roman"/>
                <w:b/>
                <w:lang w:val="en-GB"/>
              </w:rPr>
            </w:pPr>
          </w:p>
        </w:tc>
      </w:tr>
      <w:tr w:rsidR="003527EE" w14:paraId="115C6E90" w14:textId="77777777">
        <w:trPr>
          <w:cantSplit/>
        </w:trPr>
        <w:tc>
          <w:tcPr>
            <w:tcW w:w="1134" w:type="dxa"/>
            <w:tcBorders>
              <w:left w:val="single" w:sz="4" w:space="0" w:color="000000"/>
              <w:bottom w:val="single" w:sz="4" w:space="0" w:color="000000"/>
              <w:right w:val="single" w:sz="4" w:space="0" w:color="000000"/>
            </w:tcBorders>
          </w:tcPr>
          <w:p w14:paraId="0234B55E" w14:textId="77777777" w:rsidR="003527EE" w:rsidRDefault="003527EE">
            <w:pPr>
              <w:widowControl w:val="0"/>
              <w:rPr>
                <w:rFonts w:ascii="Times New Roman" w:hAnsi="Times New Roman"/>
                <w:b/>
                <w:highlight w:val="green"/>
                <w:lang w:val="en-GB"/>
              </w:rPr>
            </w:pPr>
          </w:p>
        </w:tc>
        <w:tc>
          <w:tcPr>
            <w:tcW w:w="4678" w:type="dxa"/>
            <w:tcBorders>
              <w:left w:val="single" w:sz="4" w:space="0" w:color="000000"/>
              <w:bottom w:val="single" w:sz="4" w:space="0" w:color="000000"/>
              <w:right w:val="single" w:sz="4" w:space="0" w:color="000000"/>
            </w:tcBorders>
            <w:vAlign w:val="center"/>
          </w:tcPr>
          <w:p w14:paraId="3B1E9351" w14:textId="77777777" w:rsidR="003527EE" w:rsidRDefault="003527EE">
            <w:pPr>
              <w:widowControl w:val="0"/>
              <w:rPr>
                <w:rFonts w:ascii="Calibri" w:hAnsi="Calibri"/>
                <w:color w:val="000000"/>
                <w:sz w:val="14"/>
              </w:rPr>
            </w:pPr>
          </w:p>
        </w:tc>
        <w:tc>
          <w:tcPr>
            <w:tcW w:w="4252" w:type="dxa"/>
            <w:tcBorders>
              <w:left w:val="single" w:sz="4" w:space="0" w:color="000000"/>
              <w:bottom w:val="single" w:sz="4" w:space="0" w:color="000000"/>
              <w:right w:val="single" w:sz="4" w:space="0" w:color="000000"/>
            </w:tcBorders>
            <w:vAlign w:val="center"/>
          </w:tcPr>
          <w:p w14:paraId="1F065ECD" w14:textId="77777777" w:rsidR="003527EE" w:rsidRDefault="003527EE">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26F96D1" w14:textId="77777777" w:rsidR="003527EE" w:rsidRDefault="003527EE">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DF9C08C" w14:textId="77777777" w:rsidR="003527EE" w:rsidRDefault="003527EE">
            <w:pPr>
              <w:widowControl w:val="0"/>
              <w:tabs>
                <w:tab w:val="left" w:pos="729"/>
              </w:tabs>
              <w:jc w:val="center"/>
              <w:rPr>
                <w:rFonts w:ascii="Times New Roman" w:hAnsi="Times New Roman"/>
                <w:b/>
                <w:lang w:val="en-GB"/>
              </w:rPr>
            </w:pPr>
          </w:p>
        </w:tc>
      </w:tr>
    </w:tbl>
    <w:p w14:paraId="220A4A87" w14:textId="77777777" w:rsidR="003527EE" w:rsidRDefault="003527EE">
      <w:pPr>
        <w:spacing w:before="0"/>
        <w:ind w:left="567" w:hanging="567"/>
        <w:rPr>
          <w:lang w:val="en-GB"/>
        </w:rPr>
      </w:pPr>
    </w:p>
    <w:p w14:paraId="7FD9EA11" w14:textId="77777777" w:rsidR="003527EE" w:rsidRDefault="003527EE">
      <w:pPr>
        <w:rPr>
          <w:rFonts w:ascii="Times New Roman" w:hAnsi="Times New Roman"/>
          <w:sz w:val="22"/>
          <w:szCs w:val="22"/>
          <w:lang w:val="en-GB"/>
        </w:rPr>
      </w:pPr>
    </w:p>
    <w:sectPr w:rsidR="003527EE">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FC893" w14:textId="77777777" w:rsidR="0006344A" w:rsidRDefault="0006344A">
      <w:pPr>
        <w:spacing w:before="0" w:after="0"/>
      </w:pPr>
      <w:r>
        <w:separator/>
      </w:r>
    </w:p>
  </w:endnote>
  <w:endnote w:type="continuationSeparator" w:id="0">
    <w:p w14:paraId="7634429D" w14:textId="77777777" w:rsidR="0006344A" w:rsidRDefault="000634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99677" w14:textId="77777777" w:rsidR="003527EE" w:rsidRDefault="003527E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6B702" w14:textId="77777777" w:rsidR="003527EE" w:rsidRDefault="0006344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p>
  <w:p w14:paraId="1E878997" w14:textId="77777777" w:rsidR="003527EE" w:rsidRDefault="0006344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56FF" w14:textId="77777777" w:rsidR="003527EE" w:rsidRDefault="0006344A">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p>
  <w:p w14:paraId="5D4D622E" w14:textId="77777777" w:rsidR="003527EE" w:rsidRDefault="0006344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A5478" w14:textId="77777777" w:rsidR="0006344A" w:rsidRDefault="0006344A">
      <w:pPr>
        <w:spacing w:before="0" w:after="0"/>
      </w:pPr>
      <w:r>
        <w:separator/>
      </w:r>
    </w:p>
  </w:footnote>
  <w:footnote w:type="continuationSeparator" w:id="0">
    <w:p w14:paraId="5B55CE1C" w14:textId="77777777" w:rsidR="0006344A" w:rsidRDefault="000634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DFE4" w14:textId="77777777" w:rsidR="003527EE" w:rsidRDefault="003527E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AB" w14:textId="77777777" w:rsidR="003527EE" w:rsidRDefault="003527E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17B5" w14:textId="77777777" w:rsidR="003527EE" w:rsidRDefault="003527E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A2100E"/>
    <w:multiLevelType w:val="multilevel"/>
    <w:tmpl w:val="34389C40"/>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750219EC"/>
    <w:multiLevelType w:val="multilevel"/>
    <w:tmpl w:val="5ABA19CE"/>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27EE"/>
    <w:rsid w:val="0006344A"/>
    <w:rsid w:val="003527EE"/>
    <w:rsid w:val="00A51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281B859"/>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1381</Words>
  <Characters>7877</Characters>
  <Application>Microsoft Office Word</Application>
  <DocSecurity>0</DocSecurity>
  <Lines>65</Lines>
  <Paragraphs>18</Paragraphs>
  <ScaleCrop>false</ScaleCrop>
  <Company>European Commission</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17</cp:revision>
  <cp:lastPrinted>2012-09-24T10:13:00Z</cp:lastPrinted>
  <dcterms:created xsi:type="dcterms:W3CDTF">2018-12-18T11:40:00Z</dcterms:created>
  <dcterms:modified xsi:type="dcterms:W3CDTF">2022-02-28T09:08:00Z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