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64698B97" w14:textId="77777777" w:rsidR="0099670D" w:rsidRPr="003D6B6C" w:rsidRDefault="0099670D" w:rsidP="0099670D">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401D1126" w14:textId="77777777" w:rsidR="0099670D" w:rsidRPr="003D6B6C" w:rsidRDefault="0099670D" w:rsidP="0099670D">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governing the </w:t>
      </w:r>
      <w:r>
        <w:rPr>
          <w:rFonts w:ascii="Times New Roman" w:hAnsi="Times New Roman"/>
          <w:sz w:val="22"/>
          <w:szCs w:val="22"/>
        </w:rPr>
        <w:t>c</w:t>
      </w:r>
      <w:r w:rsidRPr="003D6B6C">
        <w:rPr>
          <w:rFonts w:ascii="Times New Roman" w:hAnsi="Times New Roman"/>
          <w:sz w:val="22"/>
          <w:szCs w:val="22"/>
        </w:rPr>
        <w:t xml:space="preserve">ontract. Unless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provide otherwise, those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onditions. In exceptional cases, and with the authorisation of the appropriate Commission departments, other clauses may be added to cover specific situations.</w:t>
      </w:r>
    </w:p>
    <w:p w14:paraId="3627AADC" w14:textId="77777777" w:rsidR="0099670D" w:rsidRPr="003D6B6C" w:rsidRDefault="0099670D" w:rsidP="0099670D">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Pr="003D6B6C">
        <w:rPr>
          <w:rFonts w:ascii="Times New Roman" w:hAnsi="Times New Roman"/>
          <w:b/>
          <w:sz w:val="24"/>
          <w:szCs w:val="24"/>
        </w:rPr>
        <w:t xml:space="preserve">anguage of the </w:t>
      </w:r>
      <w:r>
        <w:rPr>
          <w:rFonts w:ascii="Times New Roman" w:hAnsi="Times New Roman"/>
          <w:b/>
          <w:sz w:val="24"/>
          <w:szCs w:val="24"/>
        </w:rPr>
        <w:t>c</w:t>
      </w:r>
      <w:r w:rsidRPr="003D6B6C">
        <w:rPr>
          <w:rFonts w:ascii="Times New Roman" w:hAnsi="Times New Roman"/>
          <w:b/>
          <w:sz w:val="24"/>
          <w:szCs w:val="24"/>
        </w:rPr>
        <w:t>ontract</w:t>
      </w:r>
    </w:p>
    <w:p w14:paraId="2AD27B69" w14:textId="77777777" w:rsidR="0099670D" w:rsidRPr="003D6B6C" w:rsidRDefault="0099670D" w:rsidP="0099670D">
      <w:pPr>
        <w:ind w:left="1134" w:hanging="567"/>
        <w:rPr>
          <w:rFonts w:ascii="Times New Roman" w:hAnsi="Times New Roman"/>
          <w:sz w:val="22"/>
          <w:szCs w:val="22"/>
        </w:rPr>
      </w:pPr>
      <w:r w:rsidRPr="003D6B6C">
        <w:rPr>
          <w:rFonts w:ascii="Times New Roman" w:hAnsi="Times New Roman"/>
          <w:sz w:val="22"/>
          <w:szCs w:val="22"/>
        </w:rPr>
        <w:t>2.1</w:t>
      </w:r>
      <w:r w:rsidRPr="003D6B6C">
        <w:rPr>
          <w:rFonts w:ascii="Times New Roman" w:hAnsi="Times New Roman"/>
          <w:sz w:val="22"/>
          <w:szCs w:val="22"/>
        </w:rPr>
        <w:tab/>
        <w:t>The language used shall be English.</w:t>
      </w:r>
    </w:p>
    <w:p w14:paraId="67D53B8A" w14:textId="77777777" w:rsidR="0099670D" w:rsidRPr="003D6B6C" w:rsidRDefault="0099670D" w:rsidP="0099670D">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A5A1983" w14:textId="77777777" w:rsidR="0099670D" w:rsidRDefault="0099670D" w:rsidP="0099670D">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
    <w:p w14:paraId="6D91A482" w14:textId="77777777" w:rsidR="0099670D" w:rsidRPr="00E2622D" w:rsidRDefault="0099670D" w:rsidP="0099670D">
      <w:pPr>
        <w:keepNext/>
        <w:keepLines/>
        <w:tabs>
          <w:tab w:val="left" w:pos="5387"/>
        </w:tabs>
        <w:ind w:left="567" w:hanging="567"/>
        <w:rPr>
          <w:rFonts w:ascii="Times New Roman" w:hAnsi="Times New Roman"/>
          <w:sz w:val="22"/>
          <w:szCs w:val="22"/>
          <w:highlight w:val="yellow"/>
        </w:rPr>
      </w:pPr>
      <w:r w:rsidRPr="00E2622D">
        <w:rPr>
          <w:rFonts w:ascii="Times New Roman" w:hAnsi="Times New Roman"/>
          <w:b/>
          <w:sz w:val="22"/>
          <w:szCs w:val="22"/>
        </w:rPr>
        <w:t>Contact details for the Contracting Authority:</w:t>
      </w:r>
      <w:r>
        <w:rPr>
          <w:rFonts w:ascii="Times New Roman" w:hAnsi="Times New Roman"/>
          <w:b/>
          <w:sz w:val="22"/>
          <w:szCs w:val="22"/>
        </w:rPr>
        <w:t xml:space="preserve">         </w:t>
      </w:r>
      <w:r w:rsidRPr="00E2622D">
        <w:rPr>
          <w:rFonts w:ascii="Times New Roman" w:hAnsi="Times New Roman"/>
          <w:b/>
          <w:sz w:val="22"/>
          <w:szCs w:val="22"/>
          <w:highlight w:val="yellow"/>
        </w:rPr>
        <w:t>Contract details for the Contractor:</w:t>
      </w:r>
    </w:p>
    <w:p w14:paraId="0760FB0D" w14:textId="77777777" w:rsidR="0099670D" w:rsidRPr="00E2622D" w:rsidRDefault="0099670D" w:rsidP="0099670D">
      <w:pPr>
        <w:keepNext/>
        <w:keepLines/>
        <w:tabs>
          <w:tab w:val="left" w:pos="5387"/>
        </w:tabs>
        <w:spacing w:after="0"/>
        <w:ind w:left="567" w:hanging="567"/>
        <w:rPr>
          <w:rFonts w:ascii="Times New Roman" w:hAnsi="Times New Roman"/>
          <w:sz w:val="22"/>
          <w:szCs w:val="22"/>
          <w:highlight w:val="yellow"/>
          <w:lang w:val="bg-BG"/>
        </w:rPr>
      </w:pPr>
      <w:r w:rsidRPr="00E2622D">
        <w:rPr>
          <w:rFonts w:ascii="Times New Roman" w:hAnsi="Times New Roman"/>
          <w:sz w:val="22"/>
          <w:szCs w:val="22"/>
        </w:rPr>
        <w:t>Mr. Erdem Demiroz.</w:t>
      </w:r>
      <w:r>
        <w:rPr>
          <w:rFonts w:ascii="Times New Roman" w:hAnsi="Times New Roman"/>
          <w:sz w:val="22"/>
          <w:szCs w:val="22"/>
          <w:lang w:val="bg-BG"/>
        </w:rPr>
        <w:t xml:space="preserve">                                                      </w:t>
      </w:r>
      <w:r w:rsidRPr="00E2622D">
        <w:rPr>
          <w:rFonts w:ascii="Times New Roman" w:hAnsi="Times New Roman"/>
          <w:sz w:val="22"/>
          <w:szCs w:val="22"/>
          <w:highlight w:val="yellow"/>
        </w:rPr>
        <w:t>Contact person</w:t>
      </w:r>
      <w:r w:rsidRPr="00E2622D">
        <w:rPr>
          <w:rFonts w:ascii="Times New Roman" w:hAnsi="Times New Roman"/>
          <w:sz w:val="22"/>
          <w:szCs w:val="22"/>
          <w:highlight w:val="yellow"/>
          <w:lang w:val="bg-BG"/>
        </w:rPr>
        <w:t>.....................................</w:t>
      </w:r>
    </w:p>
    <w:p w14:paraId="2E8BE3E3" w14:textId="77777777" w:rsidR="0099670D" w:rsidRPr="00E2622D" w:rsidRDefault="0099670D" w:rsidP="0099670D">
      <w:pPr>
        <w:tabs>
          <w:tab w:val="left" w:pos="284"/>
          <w:tab w:val="left" w:pos="5387"/>
        </w:tabs>
        <w:spacing w:after="0"/>
        <w:rPr>
          <w:rFonts w:ascii="Times New Roman" w:hAnsi="Times New Roman"/>
          <w:sz w:val="22"/>
          <w:szCs w:val="22"/>
          <w:highlight w:val="yellow"/>
        </w:rPr>
      </w:pPr>
      <w:r w:rsidRPr="00E2622D">
        <w:rPr>
          <w:rFonts w:ascii="Times New Roman" w:hAnsi="Times New Roman"/>
          <w:sz w:val="22"/>
          <w:szCs w:val="22"/>
        </w:rPr>
        <w:t>Project Coordinator</w:t>
      </w:r>
      <w:r>
        <w:rPr>
          <w:rFonts w:ascii="Times New Roman" w:hAnsi="Times New Roman"/>
          <w:sz w:val="22"/>
          <w:szCs w:val="22"/>
        </w:rPr>
        <w:t xml:space="preserve">                                                        </w:t>
      </w:r>
      <w:r w:rsidRPr="00E2622D">
        <w:rPr>
          <w:rFonts w:ascii="Times New Roman" w:hAnsi="Times New Roman"/>
          <w:sz w:val="22"/>
          <w:szCs w:val="22"/>
          <w:highlight w:val="yellow"/>
        </w:rPr>
        <w:t>Title…………………………………..</w:t>
      </w:r>
    </w:p>
    <w:p w14:paraId="47B23DDA" w14:textId="77777777" w:rsidR="0099670D" w:rsidRPr="00E2622D" w:rsidRDefault="0099670D" w:rsidP="0099670D">
      <w:pPr>
        <w:tabs>
          <w:tab w:val="left" w:pos="284"/>
          <w:tab w:val="left" w:pos="5387"/>
        </w:tabs>
        <w:spacing w:after="0"/>
        <w:rPr>
          <w:rFonts w:ascii="Times New Roman" w:hAnsi="Times New Roman"/>
          <w:sz w:val="22"/>
          <w:szCs w:val="22"/>
        </w:rPr>
      </w:pPr>
      <w:r>
        <w:rPr>
          <w:rFonts w:ascii="Times New Roman" w:hAnsi="Times New Roman"/>
          <w:sz w:val="22"/>
          <w:szCs w:val="22"/>
        </w:rPr>
        <w:t xml:space="preserve">Address: Edirne Cad. No:1                                            </w:t>
      </w:r>
      <w:r w:rsidRPr="00E2622D">
        <w:rPr>
          <w:rFonts w:ascii="Times New Roman" w:hAnsi="Times New Roman"/>
          <w:sz w:val="22"/>
          <w:szCs w:val="22"/>
          <w:highlight w:val="yellow"/>
        </w:rPr>
        <w:t>Address:……………………………...</w:t>
      </w:r>
    </w:p>
    <w:p w14:paraId="1BFBAB7D" w14:textId="77777777" w:rsidR="0099670D" w:rsidRPr="00E2622D" w:rsidRDefault="0099670D" w:rsidP="0099670D">
      <w:pPr>
        <w:keepNext/>
        <w:keepLines/>
        <w:tabs>
          <w:tab w:val="left" w:pos="5387"/>
        </w:tabs>
        <w:spacing w:after="0"/>
        <w:ind w:left="567" w:hanging="567"/>
        <w:rPr>
          <w:rFonts w:ascii="Times New Roman" w:hAnsi="Times New Roman"/>
          <w:sz w:val="22"/>
          <w:szCs w:val="22"/>
          <w:highlight w:val="yellow"/>
        </w:rPr>
      </w:pPr>
      <w:r w:rsidRPr="00E2622D">
        <w:rPr>
          <w:rFonts w:ascii="Times New Roman" w:hAnsi="Times New Roman"/>
          <w:sz w:val="22"/>
          <w:szCs w:val="22"/>
          <w:lang w:val="bg-BG"/>
        </w:rPr>
        <w:t>39010, Kirklareli, Turkey</w:t>
      </w:r>
      <w:r>
        <w:rPr>
          <w:rFonts w:ascii="Times New Roman" w:hAnsi="Times New Roman"/>
          <w:sz w:val="22"/>
          <w:szCs w:val="22"/>
        </w:rPr>
        <w:t xml:space="preserve">                                              </w:t>
      </w:r>
      <w:r w:rsidRPr="00E2622D">
        <w:rPr>
          <w:rFonts w:ascii="Times New Roman" w:hAnsi="Times New Roman"/>
          <w:sz w:val="22"/>
          <w:szCs w:val="22"/>
          <w:highlight w:val="yellow"/>
        </w:rPr>
        <w:t>……………………………………….</w:t>
      </w:r>
    </w:p>
    <w:p w14:paraId="20EEA557" w14:textId="77777777" w:rsidR="0099670D" w:rsidRPr="00E2622D" w:rsidRDefault="0099670D" w:rsidP="0099670D">
      <w:pPr>
        <w:keepNext/>
        <w:keepLines/>
        <w:tabs>
          <w:tab w:val="left" w:pos="5387"/>
        </w:tabs>
        <w:spacing w:after="0"/>
        <w:ind w:left="567" w:hanging="567"/>
        <w:rPr>
          <w:rFonts w:ascii="Times New Roman" w:hAnsi="Times New Roman"/>
          <w:sz w:val="22"/>
          <w:szCs w:val="22"/>
        </w:rPr>
      </w:pPr>
      <w:r w:rsidRPr="00E2622D">
        <w:rPr>
          <w:rFonts w:ascii="Times New Roman" w:hAnsi="Times New Roman"/>
          <w:sz w:val="22"/>
          <w:szCs w:val="22"/>
        </w:rPr>
        <w:t>Email: kirklareli@ogm.gov.tr</w:t>
      </w:r>
    </w:p>
    <w:p w14:paraId="7E49C6A7" w14:textId="77777777" w:rsidR="0099670D" w:rsidRPr="006D3DE4" w:rsidRDefault="0099670D" w:rsidP="0099670D">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F5702E1" w14:textId="77777777" w:rsidR="0099670D" w:rsidRPr="003D6B6C" w:rsidRDefault="0099670D" w:rsidP="0099670D">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Pr="004C270A">
        <w:rPr>
          <w:rFonts w:ascii="Times New Roman" w:hAnsi="Times New Roman"/>
          <w:sz w:val="22"/>
          <w:szCs w:val="22"/>
        </w:rPr>
        <w:t>In the latter case, the contracting authority will inform th</w:t>
      </w:r>
      <w:r>
        <w:rPr>
          <w:rFonts w:ascii="Times New Roman" w:hAnsi="Times New Roman"/>
          <w:sz w:val="22"/>
          <w:szCs w:val="22"/>
        </w:rPr>
        <w:t>e contractor</w:t>
      </w:r>
      <w:r w:rsidRPr="004C270A">
        <w:rPr>
          <w:rFonts w:ascii="Times New Roman" w:hAnsi="Times New Roman"/>
          <w:sz w:val="22"/>
          <w:szCs w:val="22"/>
        </w:rPr>
        <w:t xml:space="preserve"> in writing that he will be required to use the electronic system for all communications within a maximum period of 3 months.</w:t>
      </w:r>
    </w:p>
    <w:p w14:paraId="781668A5" w14:textId="77777777" w:rsidR="0099670D" w:rsidRPr="003D6B6C" w:rsidRDefault="0099670D" w:rsidP="0099670D">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EB98C56" w14:textId="77777777" w:rsidR="0099670D" w:rsidRPr="003D6B6C" w:rsidRDefault="0099670D" w:rsidP="0099670D">
      <w:pPr>
        <w:jc w:val="both"/>
        <w:rPr>
          <w:rFonts w:ascii="Times New Roman" w:hAnsi="Times New Roman"/>
          <w:b/>
          <w:sz w:val="22"/>
          <w:szCs w:val="22"/>
        </w:rPr>
      </w:pPr>
      <w:r w:rsidRPr="008F6C65">
        <w:rPr>
          <w:rFonts w:ascii="Times New Roman" w:hAnsi="Times New Roman"/>
          <w:sz w:val="22"/>
          <w:szCs w:val="22"/>
        </w:rPr>
        <w:lastRenderedPageBreak/>
        <w:t>The Contractor should provide to the Project Manager copies from the warranty documents, certificates of the products and of the company relating to the equipment</w:t>
      </w:r>
      <w:r w:rsidRPr="00E2622D">
        <w:rPr>
          <w:rFonts w:ascii="Times New Roman" w:hAnsi="Times New Roman"/>
          <w:sz w:val="22"/>
          <w:szCs w:val="22"/>
        </w:rPr>
        <w:t>.</w:t>
      </w:r>
    </w:p>
    <w:p w14:paraId="7F498599" w14:textId="77777777" w:rsidR="0099670D" w:rsidRPr="003D6B6C" w:rsidRDefault="0099670D" w:rsidP="0099670D">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2972DED" w14:textId="77777777" w:rsidR="0099670D" w:rsidRDefault="0099670D" w:rsidP="0099670D">
      <w:pPr>
        <w:spacing w:before="240"/>
        <w:jc w:val="both"/>
        <w:rPr>
          <w:rFonts w:ascii="Times New Roman" w:hAnsi="Times New Roman"/>
          <w:sz w:val="22"/>
        </w:rPr>
      </w:pPr>
      <w:r>
        <w:rPr>
          <w:rFonts w:ascii="Times New Roman" w:hAnsi="Times New Roman"/>
          <w:sz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p>
    <w:p w14:paraId="3CC9B3F1" w14:textId="77777777" w:rsidR="0099670D" w:rsidRDefault="0099670D" w:rsidP="0099670D">
      <w:pPr>
        <w:numPr>
          <w:ilvl w:val="0"/>
          <w:numId w:val="25"/>
        </w:numPr>
        <w:snapToGrid w:val="0"/>
        <w:spacing w:before="240"/>
        <w:ind w:left="709" w:hanging="283"/>
        <w:jc w:val="both"/>
        <w:rPr>
          <w:rFonts w:ascii="Times New Roman" w:hAnsi="Times New Roman"/>
          <w:sz w:val="22"/>
        </w:rPr>
      </w:pPr>
      <w:r>
        <w:rPr>
          <w:rFonts w:ascii="Times New Roman" w:hAnsi="Times New Roman"/>
          <w:sz w:val="22"/>
        </w:rPr>
        <w:t xml:space="preserve">The Ministry of Trade (MoT) thereto for further information, especially for exemption scope and implementation procedure, which are available at the MoF’s website at: </w:t>
      </w:r>
      <w:hyperlink r:id="rId9" w:history="1">
        <w:r>
          <w:rPr>
            <w:rStyle w:val="Hyperlink"/>
            <w:rFonts w:ascii="Times New Roman" w:hAnsi="Times New Roman"/>
            <w:sz w:val="22"/>
          </w:rPr>
          <w:t>http://www.gib.gov.tr/sites/default/files/uluslararasi_mevzuat/1_SIRA_NOLU_IPAII_GENEL_TEBLIGI_TR.pdf</w:t>
        </w:r>
      </w:hyperlink>
      <w:r>
        <w:rPr>
          <w:rFonts w:ascii="Times New Roman" w:hAnsi="Times New Roman"/>
          <w:sz w:val="22"/>
        </w:rPr>
        <w:t xml:space="preserve">. </w:t>
      </w:r>
    </w:p>
    <w:p w14:paraId="2108EC09" w14:textId="77777777" w:rsidR="0099670D" w:rsidRDefault="0099670D" w:rsidP="0099670D">
      <w:pPr>
        <w:numPr>
          <w:ilvl w:val="0"/>
          <w:numId w:val="25"/>
        </w:numPr>
        <w:snapToGrid w:val="0"/>
        <w:spacing w:before="240"/>
        <w:ind w:left="709" w:hanging="283"/>
        <w:jc w:val="both"/>
        <w:rPr>
          <w:rFonts w:ascii="Times New Roman" w:hAnsi="Times New Roman"/>
          <w:sz w:val="22"/>
        </w:rPr>
      </w:pPr>
      <w:r>
        <w:rPr>
          <w:rFonts w:ascii="Times New Roman" w:hAnsi="Times New Roman"/>
          <w:sz w:val="22"/>
        </w:rPr>
        <w:t xml:space="preserve">The Ministry of Trade (MoT) thereto for further information, especially for facilities extended for customs clearance, which is available at the MoCT’s website at: </w:t>
      </w:r>
      <w:hyperlink r:id="rId10" w:history="1">
        <w:r>
          <w:rPr>
            <w:rStyle w:val="Hyperlink"/>
            <w:rFonts w:ascii="Times New Roman" w:hAnsi="Times New Roman"/>
            <w:sz w:val="22"/>
          </w:rPr>
          <w:t xml:space="preserve">http://mevzuat.basbakanlik.gov.tr/Metin.Aspx?MevzuatKod=9.5.14369&amp;Mevzuatiliski=0&amp;sourceXmlSearch=Türkiye- AB Katılım Öncesi Yardım Aracı, published in the Official Gazette of Turkey, No:27730, on 15.10.2010. </w:t>
        </w:r>
      </w:hyperlink>
    </w:p>
    <w:p w14:paraId="6E53D3AF" w14:textId="77777777" w:rsidR="0099670D" w:rsidRPr="00073E78" w:rsidRDefault="0099670D" w:rsidP="0099670D">
      <w:pPr>
        <w:spacing w:before="240"/>
        <w:jc w:val="both"/>
        <w:rPr>
          <w:rFonts w:ascii="Times New Roman" w:hAnsi="Times New Roman"/>
          <w:sz w:val="22"/>
        </w:rPr>
      </w:pPr>
      <w:r>
        <w:rPr>
          <w:rFonts w:ascii="Times New Roman" w:hAnsi="Times New Roman"/>
          <w:sz w:val="22"/>
        </w:rPr>
        <w:t>The contractor shall, within two weeks from the commencement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p>
    <w:p w14:paraId="20ECC62E" w14:textId="77777777" w:rsidR="0099670D" w:rsidRPr="003D6B6C" w:rsidRDefault="0099670D" w:rsidP="0099670D">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Pr>
          <w:rFonts w:ascii="Times New Roman" w:hAnsi="Times New Roman"/>
          <w:b/>
          <w:sz w:val="22"/>
          <w:szCs w:val="22"/>
        </w:rPr>
        <w:t>o</w:t>
      </w:r>
      <w:r w:rsidRPr="003D6B6C">
        <w:rPr>
          <w:rFonts w:ascii="Times New Roman" w:hAnsi="Times New Roman"/>
          <w:b/>
          <w:sz w:val="22"/>
          <w:szCs w:val="22"/>
        </w:rPr>
        <w:t>bligations</w:t>
      </w:r>
    </w:p>
    <w:p w14:paraId="367B91E0" w14:textId="77777777" w:rsidR="0099670D" w:rsidRPr="003D6B6C" w:rsidRDefault="0099670D" w:rsidP="0099670D">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Pr>
          <w:rFonts w:ascii="Times New Roman" w:hAnsi="Times New Roman"/>
          <w:sz w:val="22"/>
          <w:szCs w:val="22"/>
        </w:rPr>
        <w:t xml:space="preserve">The Contractor must take necessary measures to ensure the vısıbılıty </w:t>
      </w:r>
      <w:r w:rsidRPr="00FB252C">
        <w:rPr>
          <w:rFonts w:ascii="Times New Roman" w:hAnsi="Times New Roman"/>
          <w:sz w:val="22"/>
          <w:szCs w:val="22"/>
        </w:rPr>
        <w:t>of the EU funding and the co-financing of the project. These visualization activities must comply with the rules lay down in the Communication and Visibility Manual for EU External Actions published on the  website of DG International Cooperation and Developm</w:t>
      </w:r>
      <w:r w:rsidRPr="008971E4">
        <w:rPr>
          <w:rFonts w:ascii="Times New Roman" w:hAnsi="Times New Roman"/>
          <w:sz w:val="22"/>
          <w:szCs w:val="22"/>
        </w:rPr>
        <w:t xml:space="preserve">ent: </w:t>
      </w:r>
      <w:hyperlink r:id="rId11" w:history="1">
        <w:r w:rsidRPr="008971E4">
          <w:rPr>
            <w:rStyle w:val="Hyperlink"/>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and with the visualization rules of the Interreg-IPA CBC Bulgaria – Turkey Programme 2014-2020 </w:t>
      </w:r>
      <w:hyperlink r:id="rId12" w:history="1">
        <w:r>
          <w:rPr>
            <w:rStyle w:val="Hyperlink"/>
          </w:rPr>
          <w:t>http://www.ipacbc-bgtr.eu/</w:t>
        </w:r>
      </w:hyperlink>
      <w:r>
        <w:t>.</w:t>
      </w:r>
    </w:p>
    <w:p w14:paraId="3D981CEF" w14:textId="77777777" w:rsidR="0099670D" w:rsidRPr="003D6B6C" w:rsidRDefault="0099670D" w:rsidP="0099670D">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5"/>
    </w:p>
    <w:p w14:paraId="0F9ADF82" w14:textId="77777777" w:rsidR="0099670D" w:rsidRDefault="0099670D" w:rsidP="0099670D">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Pr>
          <w:rFonts w:ascii="Times New Roman" w:hAnsi="Times New Roman"/>
          <w:sz w:val="22"/>
          <w:szCs w:val="22"/>
        </w:rPr>
        <w:t xml:space="preserve">Pre-Accession Assistance (IPA II) </w:t>
      </w:r>
      <w:r w:rsidRPr="003D6B6C">
        <w:rPr>
          <w:rFonts w:ascii="Times New Roman" w:hAnsi="Times New Roman"/>
          <w:sz w:val="22"/>
          <w:szCs w:val="22"/>
          <w:lang w:val="en-GB"/>
        </w:rPr>
        <w:t xml:space="preserve"> programme. For these purposes, ‘origin’ means the place where the goods are mined, grown, produced or manufactured and/or from which services are provided. The origin of the goods must be determined according to the EU Customs Code or to the relevant international agreement applicable.</w:t>
      </w:r>
    </w:p>
    <w:p w14:paraId="437D3A2B" w14:textId="77777777" w:rsidR="0099670D" w:rsidRPr="00E2622D" w:rsidRDefault="0099670D" w:rsidP="0099670D">
      <w:pPr>
        <w:spacing w:before="0"/>
        <w:ind w:left="1134"/>
        <w:jc w:val="both"/>
        <w:rPr>
          <w:rFonts w:ascii="Times New Roman" w:hAnsi="Times New Roman"/>
          <w:b/>
          <w:sz w:val="22"/>
          <w:szCs w:val="22"/>
        </w:rPr>
      </w:pPr>
      <w:r w:rsidRPr="00271425">
        <w:rPr>
          <w:rFonts w:ascii="Times New Roman" w:hAnsi="Times New Roman"/>
          <w:b/>
          <w:sz w:val="22"/>
          <w:szCs w:val="22"/>
        </w:rPr>
        <w:t>All supplies under this contract may originate from any country.</w:t>
      </w:r>
    </w:p>
    <w:p w14:paraId="362D6973" w14:textId="77777777" w:rsidR="0099670D" w:rsidRPr="003D6B6C" w:rsidRDefault="0099670D" w:rsidP="0099670D">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073334DA" w14:textId="77777777" w:rsidR="0099670D" w:rsidRPr="00E2622D" w:rsidRDefault="0099670D" w:rsidP="0099670D">
      <w:pPr>
        <w:pStyle w:val="Blockquote"/>
        <w:ind w:left="644" w:right="1"/>
        <w:jc w:val="both"/>
        <w:rPr>
          <w:sz w:val="22"/>
          <w:szCs w:val="22"/>
        </w:rPr>
      </w:pPr>
      <w:r w:rsidRPr="003D6B6C">
        <w:rPr>
          <w:rFonts w:ascii="Times New Roman" w:hAnsi="Times New Roman"/>
          <w:sz w:val="22"/>
          <w:szCs w:val="22"/>
        </w:rPr>
        <w:t>11.</w:t>
      </w:r>
      <w:r w:rsidRPr="00CB4648">
        <w:rPr>
          <w:rFonts w:ascii="Times New Roman" w:hAnsi="Times New Roman"/>
          <w:sz w:val="22"/>
          <w:szCs w:val="22"/>
        </w:rPr>
        <w:t>1</w:t>
      </w:r>
      <w:r w:rsidRPr="00CB4648">
        <w:rPr>
          <w:rFonts w:ascii="Times New Roman" w:hAnsi="Times New Roman"/>
          <w:sz w:val="22"/>
          <w:szCs w:val="22"/>
        </w:rPr>
        <w:tab/>
      </w:r>
      <w:r w:rsidRPr="00696C1A">
        <w:t xml:space="preserve"> </w:t>
      </w:r>
      <w:r w:rsidRPr="00E2622D">
        <w:rPr>
          <w:rFonts w:ascii="Times New Roman" w:hAnsi="Times New Roman"/>
          <w:sz w:val="22"/>
          <w:szCs w:val="22"/>
        </w:rPr>
        <w:t>No performance guarantee is required.</w:t>
      </w:r>
    </w:p>
    <w:p w14:paraId="527F3B07" w14:textId="77777777" w:rsidR="0099670D" w:rsidRPr="003D6B6C" w:rsidRDefault="0099670D" w:rsidP="0099670D">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085F58" w14:textId="77777777" w:rsidR="0099670D" w:rsidRPr="003D6B6C" w:rsidRDefault="0099670D" w:rsidP="0099670D">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ab/>
      </w:r>
      <w:r w:rsidRPr="00CB4648">
        <w:rPr>
          <w:rFonts w:ascii="Times New Roman" w:hAnsi="Times New Roman"/>
          <w:sz w:val="22"/>
          <w:szCs w:val="22"/>
        </w:rPr>
        <w:t>‘</w:t>
      </w:r>
      <w:r w:rsidRPr="00E2622D">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the contract value</w:t>
      </w:r>
      <w:r w:rsidRPr="00CB4648">
        <w:rPr>
          <w:rFonts w:ascii="Times New Roman" w:hAnsi="Times New Roman"/>
          <w:sz w:val="22"/>
          <w:szCs w:val="22"/>
        </w:rPr>
        <w:t>..</w:t>
      </w:r>
    </w:p>
    <w:p w14:paraId="3A3EB113" w14:textId="77777777" w:rsidR="0099670D" w:rsidRPr="00E2622D" w:rsidRDefault="0099670D" w:rsidP="0099670D">
      <w:pPr>
        <w:ind w:left="1843" w:hanging="1843"/>
        <w:jc w:val="both"/>
        <w:rPr>
          <w:rFonts w:ascii="Times New Roman" w:hAnsi="Times New Roman"/>
          <w:color w:val="222222"/>
          <w:sz w:val="22"/>
          <w:szCs w:val="22"/>
          <w:lang w:val="en"/>
        </w:rPr>
      </w:pPr>
      <w:r>
        <w:rPr>
          <w:rFonts w:ascii="Times New Roman" w:hAnsi="Times New Roman"/>
          <w:sz w:val="22"/>
          <w:szCs w:val="22"/>
        </w:rPr>
        <w:t>12.2(</w:t>
      </w:r>
      <w:r w:rsidRPr="003D6B6C">
        <w:rPr>
          <w:rFonts w:ascii="Times New Roman" w:hAnsi="Times New Roman"/>
          <w:sz w:val="22"/>
          <w:szCs w:val="22"/>
        </w:rPr>
        <w:t>b), paragraph 2</w:t>
      </w:r>
      <w:r>
        <w:rPr>
          <w:rFonts w:ascii="Times New Roman" w:hAnsi="Times New Roman"/>
          <w:sz w:val="22"/>
          <w:szCs w:val="22"/>
        </w:rPr>
        <w:tab/>
      </w:r>
      <w:r w:rsidRPr="00E2622D">
        <w:rPr>
          <w:rFonts w:ascii="Times New Roman" w:hAnsi="Times New Roman"/>
          <w:color w:val="222222"/>
          <w:sz w:val="22"/>
          <w:szCs w:val="22"/>
          <w:lang w:val="en"/>
        </w:rPr>
        <w:t>This type of insurance will vary depending on the nature of transport (land, air or sea) and the nature of the risks to be covered: loading, intermediate storage, unloading, including stowage and protection, theft, damage, loss, wetting, etc.</w:t>
      </w:r>
    </w:p>
    <w:p w14:paraId="121BF45B" w14:textId="77777777" w:rsidR="0099670D" w:rsidRPr="00E2622D" w:rsidRDefault="0099670D" w:rsidP="0099670D">
      <w:pPr>
        <w:ind w:left="1843"/>
        <w:jc w:val="both"/>
        <w:rPr>
          <w:rFonts w:ascii="Times New Roman" w:hAnsi="Times New Roman"/>
          <w:color w:val="222222"/>
          <w:sz w:val="22"/>
          <w:szCs w:val="22"/>
          <w:lang w:val="en"/>
        </w:rPr>
      </w:pPr>
      <w:r w:rsidRPr="00E2622D">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557A015A" w14:textId="77777777" w:rsidR="0099670D" w:rsidRPr="00E2622D" w:rsidRDefault="0099670D" w:rsidP="0099670D">
      <w:pPr>
        <w:pStyle w:val="Default"/>
        <w:numPr>
          <w:ilvl w:val="0"/>
          <w:numId w:val="22"/>
        </w:numPr>
        <w:ind w:left="2268"/>
        <w:jc w:val="both"/>
        <w:rPr>
          <w:sz w:val="22"/>
          <w:szCs w:val="22"/>
        </w:rPr>
      </w:pPr>
      <w:r w:rsidRPr="00E2622D">
        <w:rPr>
          <w:b/>
          <w:i/>
          <w:iCs/>
          <w:sz w:val="22"/>
          <w:szCs w:val="22"/>
        </w:rPr>
        <w:t>DDP - Delivered Duty Paid</w:t>
      </w:r>
      <w:r w:rsidRPr="00E2622D">
        <w:rPr>
          <w:i/>
          <w:iCs/>
          <w:sz w:val="22"/>
          <w:szCs w:val="22"/>
        </w:rPr>
        <w:t xml:space="preserve">: </w:t>
      </w:r>
      <w:r w:rsidRPr="00E2622D">
        <w:rPr>
          <w:color w:val="222222"/>
          <w:sz w:val="22"/>
          <w:szCs w:val="22"/>
          <w:lang w:val="en"/>
        </w:rPr>
        <w:t>Incoterm which imposes on the seller maximum obligations vis-à-vis transportation and loss risks and damage associated with the goods:</w:t>
      </w:r>
    </w:p>
    <w:p w14:paraId="4492BFAC" w14:textId="77777777" w:rsidR="0099670D" w:rsidRPr="003D6B6C" w:rsidRDefault="0099670D" w:rsidP="0099670D">
      <w:pPr>
        <w:pStyle w:val="Default"/>
        <w:spacing w:after="120"/>
        <w:ind w:left="2268"/>
        <w:jc w:val="both"/>
        <w:rPr>
          <w:color w:val="222222"/>
          <w:sz w:val="22"/>
          <w:szCs w:val="22"/>
          <w:lang w:val="en"/>
        </w:rPr>
      </w:pPr>
      <w:r w:rsidRPr="00E2622D">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E2622D">
        <w:rPr>
          <w:rStyle w:val="FootnoteReference"/>
          <w:i/>
          <w:iCs/>
          <w:sz w:val="22"/>
          <w:szCs w:val="22"/>
        </w:rPr>
        <w:footnoteReference w:id="1"/>
      </w:r>
      <w:r w:rsidRPr="00E2622D">
        <w:rPr>
          <w:i/>
          <w:iCs/>
          <w:sz w:val="22"/>
          <w:szCs w:val="22"/>
        </w:rPr>
        <w:t xml:space="preserve"> </w:t>
      </w:r>
      <w:r w:rsidRPr="00E2622D">
        <w:rPr>
          <w:color w:val="222222"/>
          <w:sz w:val="22"/>
          <w:szCs w:val="22"/>
          <w:lang w:val="en"/>
        </w:rPr>
        <w:t>The transfer of risks and costs occurs at the place of unloading of the goods at the agreed place of destination.</w:t>
      </w:r>
    </w:p>
    <w:p w14:paraId="4CD00B7D" w14:textId="77777777" w:rsidR="0099670D" w:rsidRPr="003D6B6C" w:rsidRDefault="0099670D" w:rsidP="0099670D">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8"/>
      <w:r w:rsidRPr="003D6B6C">
        <w:rPr>
          <w:rFonts w:ascii="Times New Roman" w:hAnsi="Times New Roman"/>
          <w:b/>
          <w:sz w:val="24"/>
          <w:szCs w:val="24"/>
        </w:rPr>
        <w:t>Programme of implementation of tasks</w:t>
      </w:r>
    </w:p>
    <w:p w14:paraId="6455AABA" w14:textId="4E47C6BD" w:rsidR="0099670D" w:rsidRPr="003D6B6C" w:rsidRDefault="0099670D" w:rsidP="0099670D">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Pr>
          <w:rFonts w:ascii="Times New Roman" w:hAnsi="Times New Roman"/>
          <w:sz w:val="22"/>
          <w:szCs w:val="22"/>
        </w:rPr>
        <w:t xml:space="preserve">The contractor will have 10 days from signing of the contract by the two sides for delivery of the equipment.  </w:t>
      </w:r>
    </w:p>
    <w:p w14:paraId="45838620" w14:textId="77777777" w:rsidR="0099670D" w:rsidRPr="003D6B6C" w:rsidRDefault="0099670D" w:rsidP="0099670D">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35D91DAE" w14:textId="32A013C2" w:rsidR="0099670D" w:rsidRPr="003D6B6C" w:rsidRDefault="0099670D" w:rsidP="0099670D">
      <w:pPr>
        <w:spacing w:before="240"/>
        <w:ind w:left="1134" w:hanging="1134"/>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Pr="00E254A5">
        <w:rPr>
          <w:rFonts w:ascii="Times New Roman" w:hAnsi="Times New Roman"/>
          <w:sz w:val="22"/>
          <w:szCs w:val="22"/>
        </w:rPr>
        <w:t>Not applicable.</w:t>
      </w:r>
    </w:p>
    <w:p w14:paraId="655479A5" w14:textId="77777777" w:rsidR="0099670D" w:rsidRPr="003D6B6C" w:rsidRDefault="0099670D" w:rsidP="0099670D">
      <w:pPr>
        <w:spacing w:before="240"/>
        <w:ind w:left="1134" w:hanging="1134"/>
        <w:jc w:val="both"/>
        <w:rPr>
          <w:rFonts w:ascii="Times New Roman" w:hAnsi="Times New Roman"/>
          <w:b/>
          <w:sz w:val="24"/>
          <w:szCs w:val="24"/>
        </w:rPr>
      </w:pPr>
      <w:bookmarkStart w:id="9"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9"/>
    </w:p>
    <w:p w14:paraId="74CB9C2F" w14:textId="77777777" w:rsidR="0099670D" w:rsidRPr="003D6B6C" w:rsidRDefault="0099670D" w:rsidP="0099670D">
      <w:pPr>
        <w:spacing w:before="240"/>
        <w:ind w:left="1134" w:hanging="1134"/>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Pr="00E254A5">
        <w:rPr>
          <w:rFonts w:ascii="Times New Roman" w:hAnsi="Times New Roman"/>
          <w:sz w:val="22"/>
          <w:szCs w:val="22"/>
        </w:rPr>
        <w:t xml:space="preserve">Not applicable. </w:t>
      </w:r>
    </w:p>
    <w:p w14:paraId="4233B0D5" w14:textId="77777777" w:rsidR="0099670D" w:rsidRPr="003D6B6C" w:rsidRDefault="0099670D" w:rsidP="0099670D">
      <w:pPr>
        <w:spacing w:before="240"/>
        <w:ind w:left="1134" w:hanging="1134"/>
        <w:jc w:val="both"/>
        <w:rPr>
          <w:rFonts w:ascii="Times New Roman" w:hAnsi="Times New Roman"/>
          <w:b/>
          <w:sz w:val="24"/>
          <w:szCs w:val="24"/>
        </w:rPr>
      </w:pPr>
      <w:bookmarkStart w:id="10"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0"/>
      <w:r w:rsidRPr="003D6B6C">
        <w:rPr>
          <w:rFonts w:ascii="Times New Roman" w:hAnsi="Times New Roman"/>
          <w:b/>
          <w:sz w:val="24"/>
          <w:szCs w:val="24"/>
        </w:rPr>
        <w:t xml:space="preserve"> </w:t>
      </w:r>
    </w:p>
    <w:p w14:paraId="5413BBA9" w14:textId="77777777" w:rsidR="0099670D" w:rsidRPr="003D6B6C" w:rsidRDefault="0099670D" w:rsidP="0099670D">
      <w:pPr>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Pr>
          <w:rFonts w:ascii="Times New Roman" w:hAnsi="Times New Roman"/>
          <w:sz w:val="22"/>
          <w:szCs w:val="22"/>
        </w:rPr>
        <w:t>The period of implementation of tasks will commence on the date of the signature of the contract by both parties</w:t>
      </w:r>
      <w:r w:rsidDel="00CB4648">
        <w:rPr>
          <w:rFonts w:ascii="Times New Roman" w:hAnsi="Times New Roman"/>
          <w:b/>
          <w:sz w:val="22"/>
          <w:szCs w:val="22"/>
        </w:rPr>
        <w:t xml:space="preserve"> </w:t>
      </w:r>
      <w:r>
        <w:rPr>
          <w:rFonts w:ascii="Times New Roman" w:hAnsi="Times New Roman"/>
          <w:sz w:val="22"/>
          <w:szCs w:val="22"/>
        </w:rPr>
        <w:t>.</w:t>
      </w:r>
      <w:r w:rsidRPr="003D6B6C">
        <w:rPr>
          <w:rFonts w:ascii="Times New Roman" w:hAnsi="Times New Roman"/>
          <w:sz w:val="22"/>
          <w:szCs w:val="22"/>
        </w:rPr>
        <w:tab/>
      </w:r>
    </w:p>
    <w:p w14:paraId="14132BE6" w14:textId="77777777" w:rsidR="0099670D" w:rsidRPr="003D6B6C" w:rsidRDefault="0099670D" w:rsidP="0099670D">
      <w:pPr>
        <w:spacing w:before="240"/>
        <w:ind w:left="1134" w:hanging="1134"/>
        <w:jc w:val="both"/>
        <w:rPr>
          <w:rFonts w:ascii="Times New Roman" w:hAnsi="Times New Roman"/>
          <w:b/>
          <w:sz w:val="24"/>
          <w:szCs w:val="24"/>
        </w:rPr>
      </w:pPr>
      <w:bookmarkStart w:id="11" w:name="_Toc124934908"/>
      <w:r w:rsidRPr="003D6B6C">
        <w:rPr>
          <w:rFonts w:ascii="Times New Roman" w:hAnsi="Times New Roman"/>
          <w:b/>
          <w:sz w:val="24"/>
          <w:szCs w:val="24"/>
        </w:rPr>
        <w:t>Article 19</w:t>
      </w:r>
      <w:r w:rsidRPr="003D6B6C">
        <w:rPr>
          <w:rFonts w:ascii="Times New Roman" w:hAnsi="Times New Roman"/>
          <w:b/>
          <w:sz w:val="24"/>
          <w:szCs w:val="24"/>
        </w:rPr>
        <w:tab/>
        <w:t>Period of implementation</w:t>
      </w:r>
      <w:bookmarkEnd w:id="11"/>
      <w:r w:rsidRPr="003D6B6C">
        <w:rPr>
          <w:rFonts w:ascii="Times New Roman" w:hAnsi="Times New Roman"/>
          <w:b/>
          <w:sz w:val="24"/>
          <w:szCs w:val="24"/>
        </w:rPr>
        <w:t xml:space="preserve"> of the tasks</w:t>
      </w:r>
    </w:p>
    <w:p w14:paraId="3E87C071" w14:textId="77777777" w:rsidR="0099670D" w:rsidRPr="003D6B6C" w:rsidRDefault="0099670D" w:rsidP="0099670D">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Pr>
          <w:rFonts w:ascii="Times New Roman" w:hAnsi="Times New Roman"/>
          <w:sz w:val="22"/>
          <w:szCs w:val="22"/>
        </w:rPr>
        <w:t xml:space="preserve">The supply, delivery, installation, testing, inspection and training of goods will be completed  4months (120 days) starting from the date of commencement of the contract. </w:t>
      </w:r>
    </w:p>
    <w:p w14:paraId="78EE7721" w14:textId="77777777" w:rsidR="0099670D" w:rsidRPr="003D6B6C" w:rsidRDefault="0099670D" w:rsidP="0099670D">
      <w:pPr>
        <w:spacing w:before="240"/>
        <w:ind w:left="1134" w:hanging="1134"/>
        <w:jc w:val="both"/>
        <w:rPr>
          <w:rFonts w:ascii="Times New Roman" w:hAnsi="Times New Roman"/>
          <w:b/>
          <w:sz w:val="24"/>
          <w:szCs w:val="24"/>
        </w:rPr>
      </w:pPr>
      <w:bookmarkStart w:id="12"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2"/>
    </w:p>
    <w:p w14:paraId="6F5D2326" w14:textId="77777777" w:rsidR="0099670D" w:rsidRPr="007C2E42" w:rsidRDefault="0099670D" w:rsidP="0099670D">
      <w:pPr>
        <w:spacing w:before="240"/>
        <w:ind w:left="1134" w:hanging="1134"/>
        <w:jc w:val="both"/>
        <w:rPr>
          <w:rFonts w:ascii="Times New Roman" w:hAnsi="Times New Roman"/>
          <w:sz w:val="22"/>
          <w:szCs w:val="22"/>
        </w:rPr>
      </w:pPr>
      <w:r w:rsidRPr="007C2E42">
        <w:rPr>
          <w:rFonts w:ascii="Times New Roman" w:hAnsi="Times New Roman"/>
          <w:sz w:val="22"/>
          <w:szCs w:val="22"/>
        </w:rPr>
        <w:t>The Technical Specification describes the minimum requirements. Participants should offer equipment fully covering or exceeding the minimum parameters and functionalities set out in this specification.</w:t>
      </w:r>
    </w:p>
    <w:p w14:paraId="631A53E0" w14:textId="77777777" w:rsidR="0099670D" w:rsidRPr="007C2E42" w:rsidRDefault="0099670D" w:rsidP="0099670D">
      <w:pPr>
        <w:spacing w:before="240"/>
        <w:ind w:left="1134" w:hanging="1134"/>
        <w:jc w:val="both"/>
        <w:rPr>
          <w:rFonts w:ascii="Times New Roman" w:hAnsi="Times New Roman"/>
          <w:sz w:val="22"/>
          <w:szCs w:val="22"/>
        </w:rPr>
      </w:pPr>
      <w:r w:rsidRPr="007C2E42">
        <w:rPr>
          <w:rFonts w:ascii="Times New Roman" w:hAnsi="Times New Roman"/>
          <w:sz w:val="22"/>
          <w:szCs w:val="22"/>
        </w:rPr>
        <w:t>24.3    At each reference to a standard, specification, technical evaluation, technical approval or technical standard above, the Contracting Authority shall also accept the equivalent (s).</w:t>
      </w:r>
    </w:p>
    <w:p w14:paraId="0410A7F2" w14:textId="77777777" w:rsidR="0099670D" w:rsidRDefault="0099670D" w:rsidP="0099670D">
      <w:pPr>
        <w:spacing w:before="240"/>
        <w:ind w:left="1134" w:hanging="1134"/>
        <w:jc w:val="both"/>
        <w:rPr>
          <w:rFonts w:ascii="Times New Roman" w:hAnsi="Times New Roman"/>
          <w:sz w:val="22"/>
          <w:szCs w:val="22"/>
        </w:rPr>
      </w:pPr>
      <w:r w:rsidRPr="007C2E42">
        <w:rPr>
          <w:rFonts w:ascii="Times New Roman" w:hAnsi="Times New Roman"/>
          <w:sz w:val="22"/>
          <w:szCs w:val="22"/>
        </w:rPr>
        <w:t xml:space="preserve">24.5 </w:t>
      </w:r>
      <w:r w:rsidRPr="007C2E42">
        <w:rPr>
          <w:rFonts w:ascii="Times New Roman" w:hAnsi="Times New Roman"/>
          <w:sz w:val="22"/>
          <w:szCs w:val="22"/>
        </w:rPr>
        <w:tab/>
        <w:t xml:space="preserve">For those specified in the Technical Specification: specific standard, specification, technical evaluation, technical approval, technical standard, specific process or method of manufacture, specific model, source, specific process that characterizes the product or service, trademark, patent, type, specific origin or read production to be supplemented by the words "or equivalent". </w:t>
      </w:r>
    </w:p>
    <w:p w14:paraId="0E07B427" w14:textId="77777777" w:rsidR="0099670D" w:rsidRPr="003D6B6C" w:rsidRDefault="0099670D" w:rsidP="0099670D">
      <w:pPr>
        <w:spacing w:before="240"/>
        <w:ind w:left="1134" w:hanging="1134"/>
        <w:jc w:val="both"/>
        <w:rPr>
          <w:rFonts w:ascii="Times New Roman" w:hAnsi="Times New Roman"/>
          <w:b/>
          <w:sz w:val="24"/>
          <w:szCs w:val="24"/>
        </w:rPr>
      </w:pPr>
      <w:bookmarkStart w:id="13"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3"/>
    </w:p>
    <w:p w14:paraId="5896E959" w14:textId="77777777" w:rsidR="0099670D" w:rsidRPr="003D6B6C" w:rsidRDefault="0099670D" w:rsidP="0099670D">
      <w:pPr>
        <w:ind w:left="1134" w:hanging="709"/>
        <w:jc w:val="both"/>
        <w:rPr>
          <w:rFonts w:ascii="Times New Roman" w:hAnsi="Times New Roman"/>
          <w:b/>
          <w:sz w:val="22"/>
          <w:szCs w:val="22"/>
        </w:rPr>
      </w:pPr>
      <w:r w:rsidRPr="003D6B6C">
        <w:rPr>
          <w:rFonts w:ascii="Times New Roman" w:hAnsi="Times New Roman"/>
          <w:bCs/>
          <w:sz w:val="22"/>
          <w:szCs w:val="22"/>
        </w:rPr>
        <w:lastRenderedPageBreak/>
        <w:t>25.2</w:t>
      </w:r>
      <w:r w:rsidRPr="003D6B6C">
        <w:rPr>
          <w:rFonts w:ascii="Times New Roman" w:hAnsi="Times New Roman"/>
          <w:bCs/>
          <w:sz w:val="22"/>
          <w:szCs w:val="22"/>
        </w:rPr>
        <w:tab/>
      </w:r>
      <w:r>
        <w:rPr>
          <w:rFonts w:ascii="Times New Roman" w:hAnsi="Times New Roman"/>
          <w:bCs/>
          <w:sz w:val="22"/>
          <w:szCs w:val="22"/>
        </w:rPr>
        <w:t>T</w:t>
      </w:r>
      <w:r>
        <w:rPr>
          <w:rFonts w:ascii="Times New Roman" w:hAnsi="Times New Roman"/>
          <w:bCs/>
          <w:sz w:val="22"/>
          <w:szCs w:val="22"/>
          <w:lang w:val="en-US"/>
        </w:rPr>
        <w:t>he inspection and testing of all supplies will be started and completed within a maximum of 30 calendar days after each delivery phase by the beneficiary. During the inspection and testing procedure, the quantities, the technical performances the technical specifications and technical documentation will be verified. At least one week before the completion of delivery, the supplier will inform the contracting authority and the beneficiary about the possible schedule for inspection and testing procedures.</w:t>
      </w:r>
    </w:p>
    <w:p w14:paraId="3082E97A" w14:textId="77777777" w:rsidR="0099670D" w:rsidRPr="003D6B6C" w:rsidRDefault="0099670D" w:rsidP="0099670D">
      <w:pPr>
        <w:spacing w:before="240"/>
        <w:ind w:left="1134" w:hanging="1134"/>
        <w:jc w:val="both"/>
        <w:rPr>
          <w:rFonts w:ascii="Times New Roman" w:hAnsi="Times New Roman"/>
          <w:b/>
          <w:sz w:val="24"/>
          <w:szCs w:val="24"/>
        </w:rPr>
      </w:pPr>
      <w:bookmarkStart w:id="14"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4"/>
      <w:r w:rsidRPr="003D6B6C">
        <w:rPr>
          <w:rFonts w:ascii="Times New Roman" w:hAnsi="Times New Roman"/>
          <w:b/>
          <w:sz w:val="24"/>
          <w:szCs w:val="24"/>
        </w:rPr>
        <w:t>General principles for payments</w:t>
      </w:r>
    </w:p>
    <w:p w14:paraId="2943C79C" w14:textId="77777777" w:rsidR="0099670D" w:rsidRPr="003D6B6C" w:rsidRDefault="0099670D" w:rsidP="0099670D">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7E00ED">
        <w:rPr>
          <w:rFonts w:ascii="Times New Roman" w:hAnsi="Times New Roman"/>
          <w:sz w:val="22"/>
          <w:szCs w:val="22"/>
        </w:rPr>
        <w:t xml:space="preserve">in </w:t>
      </w:r>
      <w:r w:rsidRPr="00E2622D">
        <w:rPr>
          <w:rFonts w:ascii="Times New Roman" w:hAnsi="Times New Roman"/>
          <w:sz w:val="22"/>
          <w:szCs w:val="22"/>
        </w:rPr>
        <w:t>euros</w:t>
      </w:r>
      <w:r w:rsidRPr="007E00ED">
        <w:rPr>
          <w:rFonts w:ascii="Times New Roman" w:hAnsi="Times New Roman"/>
          <w:sz w:val="22"/>
          <w:szCs w:val="22"/>
        </w:rPr>
        <w:t>.</w:t>
      </w:r>
      <w:r>
        <w:rPr>
          <w:rFonts w:ascii="Times New Roman" w:hAnsi="Times New Roman"/>
          <w:sz w:val="22"/>
          <w:szCs w:val="22"/>
        </w:rPr>
        <w:t xml:space="preserve"> </w:t>
      </w:r>
    </w:p>
    <w:p w14:paraId="284D80CB" w14:textId="77777777" w:rsidR="0099670D" w:rsidRPr="003D6B6C" w:rsidRDefault="0099670D" w:rsidP="0099670D">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Contracting Authority</w:t>
      </w:r>
      <w:r w:rsidRPr="003D6B6C">
        <w:rPr>
          <w:rFonts w:ascii="Times New Roman" w:hAnsi="Times New Roman"/>
          <w:sz w:val="22"/>
          <w:szCs w:val="22"/>
        </w:rPr>
        <w:t>.</w:t>
      </w:r>
    </w:p>
    <w:p w14:paraId="4052AC69" w14:textId="77777777" w:rsidR="0099670D" w:rsidRPr="003D6B6C" w:rsidRDefault="0099670D" w:rsidP="0099670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E2622D">
        <w:rPr>
          <w:rFonts w:ascii="Times New Roman" w:hAnsi="Times New Roman"/>
          <w:sz w:val="22"/>
          <w:szCs w:val="22"/>
        </w:rPr>
        <w:t>By derogation, the pre-financing payments shall be made within 90 days from the date on which an admissible invoice is registered by the contracting authority. The final payment to the contractor of the amounts due shall be made within 90 days following provisional acceptance of the goods, after receipt by the contracting authority of an admissible invoice.</w:t>
      </w:r>
    </w:p>
    <w:p w14:paraId="3EAD089E" w14:textId="77777777" w:rsidR="0099670D" w:rsidRPr="003D6B6C" w:rsidRDefault="0099670D" w:rsidP="0099670D">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0F307263" w14:textId="77777777" w:rsidR="0099670D" w:rsidRPr="003D6B6C" w:rsidRDefault="0099670D" w:rsidP="0099670D">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1F24F0">
        <w:rPr>
          <w:rFonts w:ascii="Times New Roman" w:hAnsi="Times New Roman"/>
          <w:sz w:val="22"/>
          <w:szCs w:val="22"/>
        </w:rPr>
        <w:t>For the 40% pre-</w:t>
      </w:r>
      <w:r w:rsidRPr="003974CB">
        <w:rPr>
          <w:rFonts w:ascii="Times New Roman" w:hAnsi="Times New Roman"/>
          <w:sz w:val="22"/>
          <w:szCs w:val="22"/>
        </w:rPr>
        <w:t xml:space="preserve">financing, </w:t>
      </w:r>
      <w:r w:rsidRPr="00E2622D">
        <w:rPr>
          <w:rFonts w:ascii="Times New Roman" w:hAnsi="Times New Roman"/>
          <w:bCs/>
          <w:sz w:val="22"/>
          <w:szCs w:val="22"/>
        </w:rPr>
        <w:t>the pre-financing guarantee</w:t>
      </w:r>
      <w:r w:rsidRPr="003974CB">
        <w:rPr>
          <w:rFonts w:ascii="Times New Roman" w:hAnsi="Times New Roman"/>
          <w:bCs/>
          <w:sz w:val="22"/>
          <w:szCs w:val="22"/>
        </w:rPr>
        <w:t>:</w:t>
      </w:r>
      <w:r w:rsidRPr="00E2622D">
        <w:rPr>
          <w:rFonts w:ascii="Times New Roman" w:hAnsi="Times New Roman"/>
          <w:bCs/>
          <w:sz w:val="22"/>
          <w:szCs w:val="22"/>
        </w:rPr>
        <w:t xml:space="preserve"> </w:t>
      </w:r>
    </w:p>
    <w:p w14:paraId="50A10366" w14:textId="77777777" w:rsidR="0099670D" w:rsidRDefault="0099670D" w:rsidP="0099670D">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Pr>
          <w:rFonts w:ascii="Times New Roman" w:hAnsi="Times New Roman"/>
          <w:sz w:val="22"/>
          <w:szCs w:val="22"/>
          <w:highlight w:val="yellow"/>
        </w:rPr>
        <w:t>c</w:t>
      </w:r>
      <w:r w:rsidRPr="003D6B6C">
        <w:rPr>
          <w:rFonts w:ascii="Times New Roman" w:hAnsi="Times New Roman"/>
          <w:sz w:val="22"/>
          <w:szCs w:val="22"/>
          <w:highlight w:val="yellow"/>
        </w:rPr>
        <w:t>ontract price is below EUR 60</w:t>
      </w:r>
      <w:r>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4C0C4C2D" w14:textId="77777777" w:rsidR="0099670D" w:rsidRPr="003D6B6C" w:rsidRDefault="0099670D" w:rsidP="0099670D">
      <w:pPr>
        <w:spacing w:before="0" w:after="0"/>
        <w:ind w:left="1985"/>
        <w:jc w:val="both"/>
        <w:rPr>
          <w:rFonts w:ascii="Times New Roman" w:hAnsi="Times New Roman"/>
          <w:bCs/>
          <w:sz w:val="22"/>
          <w:szCs w:val="22"/>
        </w:rPr>
      </w:pPr>
      <w:r w:rsidRPr="0099670D">
        <w:rPr>
          <w:rFonts w:ascii="Times New Roman" w:hAnsi="Times New Roman"/>
          <w:bCs/>
          <w:sz w:val="22"/>
          <w:szCs w:val="22"/>
          <w:highlight w:val="lightGray"/>
        </w:rPr>
        <w:t xml:space="preserve">[By derogation from article </w:t>
      </w:r>
      <w:r w:rsidRPr="0099670D">
        <w:rPr>
          <w:rFonts w:ascii="Times New Roman" w:hAnsi="Times New Roman"/>
          <w:sz w:val="22"/>
          <w:szCs w:val="22"/>
          <w:highlight w:val="lightGray"/>
        </w:rPr>
        <w:t xml:space="preserve">26.5 of the general conditions, </w:t>
      </w:r>
      <w:r w:rsidRPr="0099670D">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0ED33850" w14:textId="77777777" w:rsidR="0099670D" w:rsidRPr="003D6B6C" w:rsidRDefault="0099670D" w:rsidP="0099670D">
      <w:pPr>
        <w:spacing w:before="0" w:after="0"/>
        <w:ind w:left="1985" w:hanging="284"/>
        <w:jc w:val="both"/>
        <w:rPr>
          <w:rFonts w:ascii="Times New Roman" w:hAnsi="Times New Roman"/>
          <w:bCs/>
          <w:sz w:val="22"/>
          <w:szCs w:val="22"/>
          <w:highlight w:val="yellow"/>
        </w:rPr>
      </w:pPr>
    </w:p>
    <w:p w14:paraId="5823FFFF" w14:textId="77777777" w:rsidR="0099670D" w:rsidRDefault="0099670D" w:rsidP="0099670D">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7820B68B" w14:textId="77777777" w:rsidR="0099670D" w:rsidRPr="003D6B6C" w:rsidRDefault="0099670D" w:rsidP="0099670D">
      <w:pPr>
        <w:spacing w:before="0" w:after="0"/>
        <w:ind w:left="1985"/>
        <w:jc w:val="both"/>
        <w:rPr>
          <w:rFonts w:ascii="Times New Roman" w:hAnsi="Times New Roman"/>
          <w:bCs/>
          <w:sz w:val="22"/>
          <w:szCs w:val="22"/>
        </w:rPr>
      </w:pPr>
      <w:r w:rsidRPr="0099670D">
        <w:rPr>
          <w:rFonts w:ascii="Times New Roman" w:hAnsi="Times New Roman"/>
          <w:sz w:val="22"/>
          <w:szCs w:val="22"/>
          <w:highlight w:val="lightGray"/>
        </w:rPr>
        <w:t>[When</w:t>
      </w:r>
      <w:r w:rsidRPr="0099670D">
        <w:rPr>
          <w:rFonts w:ascii="Times New Roman" w:hAnsi="Times New Roman"/>
          <w:bCs/>
          <w:sz w:val="22"/>
          <w:szCs w:val="22"/>
          <w:highlight w:val="lightGray"/>
        </w:rPr>
        <w:t xml:space="preserve"> (i) the pre-financing requested is equal or below EUR 300 000 </w:t>
      </w:r>
      <w:r w:rsidRPr="0099670D">
        <w:rPr>
          <w:rFonts w:ascii="Times New Roman" w:hAnsi="Times New Roman"/>
          <w:b/>
          <w:bCs/>
          <w:sz w:val="22"/>
          <w:szCs w:val="22"/>
          <w:highlight w:val="lightGray"/>
        </w:rPr>
        <w:t>and</w:t>
      </w:r>
      <w:r w:rsidRPr="0099670D">
        <w:rPr>
          <w:rFonts w:ascii="Times New Roman" w:hAnsi="Times New Roman"/>
          <w:bCs/>
          <w:sz w:val="22"/>
          <w:szCs w:val="22"/>
          <w:highlight w:val="lightGray"/>
        </w:rPr>
        <w:t xml:space="preserve"> (ii) the contracting authority does not require a financial guarantee following a risk assessment</w:t>
      </w:r>
      <w:r w:rsidRPr="0099670D">
        <w:rPr>
          <w:rStyle w:val="FootnoteReference"/>
          <w:rFonts w:ascii="Times New Roman" w:hAnsi="Times New Roman"/>
          <w:bCs/>
          <w:sz w:val="22"/>
          <w:szCs w:val="22"/>
          <w:highlight w:val="lightGray"/>
        </w:rPr>
        <w:footnoteReference w:id="2"/>
      </w:r>
      <w:r w:rsidRPr="0099670D">
        <w:rPr>
          <w:rFonts w:ascii="Times New Roman" w:hAnsi="Times New Roman"/>
          <w:bCs/>
          <w:sz w:val="22"/>
          <w:szCs w:val="22"/>
          <w:highlight w:val="lightGray"/>
        </w:rPr>
        <w:t xml:space="preserve">, by derogation from article </w:t>
      </w:r>
      <w:r w:rsidRPr="0099670D">
        <w:rPr>
          <w:rFonts w:ascii="Times New Roman" w:hAnsi="Times New Roman"/>
          <w:sz w:val="22"/>
          <w:szCs w:val="22"/>
          <w:highlight w:val="lightGray"/>
        </w:rPr>
        <w:t xml:space="preserve">26.5 of the general conditions </w:t>
      </w:r>
      <w:r w:rsidRPr="0099670D">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1A07FBB1" w14:textId="77777777" w:rsidR="0099670D" w:rsidRPr="003D6B6C" w:rsidRDefault="0099670D" w:rsidP="0099670D">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1F24F0">
        <w:rPr>
          <w:rFonts w:ascii="Times New Roman" w:hAnsi="Times New Roman"/>
          <w:sz w:val="22"/>
          <w:szCs w:val="22"/>
        </w:rPr>
        <w:t>For the 60</w:t>
      </w:r>
      <w:r w:rsidRPr="001F24F0">
        <w:rPr>
          <w:rFonts w:ascii="Times New Roman" w:hAnsi="Times New Roman"/>
          <w:w w:val="50"/>
          <w:sz w:val="22"/>
          <w:szCs w:val="22"/>
        </w:rPr>
        <w:t> </w:t>
      </w:r>
      <w:r w:rsidRPr="001F24F0">
        <w:rPr>
          <w:rFonts w:ascii="Times New Roman" w:hAnsi="Times New Roman"/>
          <w:sz w:val="22"/>
          <w:szCs w:val="22"/>
        </w:rPr>
        <w:t>% balance</w:t>
      </w:r>
      <w:r w:rsidRPr="00C70E2C">
        <w:rPr>
          <w:rFonts w:ascii="Times New Roman" w:hAnsi="Times New Roman"/>
          <w:sz w:val="22"/>
          <w:szCs w:val="22"/>
        </w:rPr>
        <w:t>,</w:t>
      </w:r>
      <w:r w:rsidRPr="003D6B6C">
        <w:rPr>
          <w:rFonts w:ascii="Times New Roman" w:hAnsi="Times New Roman"/>
          <w:sz w:val="22"/>
          <w:szCs w:val="22"/>
        </w:rPr>
        <w:t xml:space="preserve"> the invoice(s)</w:t>
      </w:r>
      <w:r>
        <w:rPr>
          <w:rFonts w:ascii="Times New Roman" w:hAnsi="Times New Roman"/>
          <w:sz w:val="22"/>
          <w:szCs w:val="22"/>
        </w:rPr>
        <w:t xml:space="preserve"> </w:t>
      </w:r>
      <w:r w:rsidRPr="003D6B6C">
        <w:rPr>
          <w:rFonts w:ascii="Times New Roman" w:hAnsi="Times New Roman"/>
          <w:sz w:val="22"/>
          <w:szCs w:val="22"/>
        </w:rPr>
        <w:t>together with the request for provisional acceptance of the supplies.</w:t>
      </w:r>
    </w:p>
    <w:p w14:paraId="3F4F7F41" w14:textId="77777777" w:rsidR="0099670D" w:rsidRPr="003D6B6C" w:rsidRDefault="0099670D" w:rsidP="0099670D">
      <w:pPr>
        <w:spacing w:before="240"/>
        <w:ind w:left="1134" w:hanging="1134"/>
        <w:jc w:val="both"/>
        <w:rPr>
          <w:rFonts w:ascii="Times New Roman" w:hAnsi="Times New Roman"/>
          <w:b/>
          <w:sz w:val="24"/>
          <w:szCs w:val="24"/>
        </w:rPr>
      </w:pPr>
      <w:bookmarkStart w:id="15"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67D1C52A" w14:textId="77777777" w:rsidR="0099670D" w:rsidRPr="003D6B6C" w:rsidRDefault="0099670D" w:rsidP="0099670D">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E2622D">
        <w:rPr>
          <w:rFonts w:ascii="Times New Roman" w:hAnsi="Times New Roman"/>
          <w:snapToGrid/>
          <w:sz w:val="22"/>
          <w:szCs w:val="22"/>
          <w:lang w:eastAsia="en-GB"/>
        </w:rPr>
        <w:t>By derogation from Article 28.2 of the general conditions, o</w:t>
      </w:r>
      <w:r w:rsidRPr="00E2622D">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7585D351" w14:textId="77777777" w:rsidR="0099670D" w:rsidRPr="003D6B6C" w:rsidRDefault="0099670D" w:rsidP="0099670D">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5"/>
    </w:p>
    <w:p w14:paraId="2A08BC52" w14:textId="77777777" w:rsidR="0099670D" w:rsidRDefault="0099670D" w:rsidP="0099670D">
      <w:pPr>
        <w:ind w:left="1134" w:hanging="709"/>
        <w:jc w:val="both"/>
        <w:rPr>
          <w:rFonts w:ascii="Times New Roman" w:hAnsi="Times New Roman"/>
          <w:sz w:val="22"/>
          <w:szCs w:val="22"/>
          <w:lang w:val="en-US"/>
        </w:rPr>
      </w:pPr>
      <w:r w:rsidRPr="003D6B6C">
        <w:rPr>
          <w:rFonts w:ascii="Times New Roman" w:hAnsi="Times New Roman"/>
          <w:sz w:val="22"/>
          <w:szCs w:val="22"/>
        </w:rPr>
        <w:t>29.3</w:t>
      </w:r>
      <w:r w:rsidRPr="003D6B6C">
        <w:rPr>
          <w:rFonts w:ascii="Times New Roman" w:hAnsi="Times New Roman"/>
          <w:b/>
          <w:sz w:val="22"/>
          <w:szCs w:val="22"/>
        </w:rPr>
        <w:tab/>
      </w:r>
      <w:r w:rsidRPr="00AC7B6B">
        <w:rPr>
          <w:rFonts w:ascii="Times New Roman" w:hAnsi="Times New Roman"/>
          <w:sz w:val="22"/>
          <w:szCs w:val="22"/>
          <w:lang w:val="en-US"/>
        </w:rPr>
        <w:t>The packaging shall become the property of the recipient subject to environmental considerations.</w:t>
      </w:r>
    </w:p>
    <w:p w14:paraId="2C2D4CDD" w14:textId="77777777" w:rsidR="0099670D" w:rsidRPr="003D6B6C" w:rsidRDefault="0099670D" w:rsidP="0099670D">
      <w:pPr>
        <w:ind w:left="425"/>
        <w:jc w:val="both"/>
        <w:rPr>
          <w:rFonts w:ascii="Times New Roman" w:hAnsi="Times New Roman"/>
          <w:sz w:val="22"/>
          <w:szCs w:val="22"/>
        </w:rPr>
      </w:pPr>
      <w:r w:rsidRPr="003D6B6C">
        <w:rPr>
          <w:rFonts w:ascii="Times New Roman" w:hAnsi="Times New Roman"/>
          <w:sz w:val="22"/>
          <w:szCs w:val="22"/>
        </w:rPr>
        <w:t>29.5/6/7</w:t>
      </w:r>
      <w:r>
        <w:rPr>
          <w:rFonts w:ascii="Times New Roman" w:hAnsi="Times New Roman"/>
          <w:sz w:val="22"/>
          <w:szCs w:val="22"/>
        </w:rPr>
        <w:t xml:space="preserve"> The machinery under every lot should be delivered accompanied with the full set of documents, listed herein, as well as a delivery protocol.</w:t>
      </w:r>
      <w:r w:rsidRPr="00B54DD0">
        <w:rPr>
          <w:rFonts w:ascii="Times New Roman" w:hAnsi="Times New Roman"/>
          <w:sz w:val="22"/>
          <w:szCs w:val="22"/>
        </w:rPr>
        <w:tab/>
      </w:r>
    </w:p>
    <w:p w14:paraId="60EA812A" w14:textId="77777777" w:rsidR="0099670D" w:rsidRPr="003D6B6C" w:rsidRDefault="0099670D" w:rsidP="0099670D">
      <w:pPr>
        <w:spacing w:before="240"/>
        <w:ind w:left="1134" w:hanging="1134"/>
        <w:jc w:val="both"/>
        <w:rPr>
          <w:rFonts w:ascii="Times New Roman" w:hAnsi="Times New Roman"/>
          <w:b/>
          <w:sz w:val="24"/>
          <w:szCs w:val="24"/>
        </w:rPr>
      </w:pPr>
      <w:bookmarkStart w:id="16"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6"/>
    </w:p>
    <w:p w14:paraId="1F6A2205" w14:textId="77777777" w:rsidR="0099670D" w:rsidRPr="003D6B6C" w:rsidRDefault="0099670D" w:rsidP="0099670D">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45A7D3A9" w14:textId="77777777" w:rsidR="0099670D" w:rsidRPr="00E2622D" w:rsidRDefault="0099670D" w:rsidP="0099670D">
      <w:pPr>
        <w:ind w:left="1134" w:hanging="708"/>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r>
      <w:r w:rsidRPr="00E2622D">
        <w:rPr>
          <w:rFonts w:ascii="Times New Roman" w:hAnsi="Times New Roman"/>
          <w:sz w:val="22"/>
          <w:szCs w:val="22"/>
        </w:rPr>
        <w:t>By derogation, the contractor may apply, by notice to the project manager, for a certificate of provisional acceptance when supplies are ready for provisional acceptance. The project manager shall within 45 days of receipt of the contractor's application either:</w:t>
      </w:r>
    </w:p>
    <w:p w14:paraId="526FDCED" w14:textId="77777777" w:rsidR="0099670D" w:rsidRPr="00E2622D" w:rsidRDefault="0099670D" w:rsidP="0099670D">
      <w:pPr>
        <w:widowControl w:val="0"/>
        <w:numPr>
          <w:ilvl w:val="0"/>
          <w:numId w:val="19"/>
        </w:numPr>
        <w:tabs>
          <w:tab w:val="left" w:pos="1560"/>
        </w:tabs>
        <w:spacing w:before="0" w:after="0"/>
        <w:ind w:left="1560"/>
        <w:jc w:val="both"/>
        <w:rPr>
          <w:rFonts w:ascii="Times New Roman" w:hAnsi="Times New Roman"/>
          <w:sz w:val="22"/>
          <w:szCs w:val="22"/>
        </w:rPr>
      </w:pPr>
      <w:r w:rsidRPr="00E2622D">
        <w:rPr>
          <w:rFonts w:ascii="Times New Roman" w:hAnsi="Times New Roman"/>
          <w:sz w:val="22"/>
          <w:szCs w:val="22"/>
        </w:rPr>
        <w:t>issue the certificate of provisional acceptance to the contractor with a copy to the contracting authority stating, where appropriate, his reservations, and, inter alia, the date on which, in his opinion, the supplies were completed in accordance with the contract and ready for provisional acceptance; or</w:t>
      </w:r>
    </w:p>
    <w:p w14:paraId="287B4478" w14:textId="77777777" w:rsidR="0099670D" w:rsidRPr="00E2622D" w:rsidRDefault="0099670D" w:rsidP="0099670D">
      <w:pPr>
        <w:widowControl w:val="0"/>
        <w:numPr>
          <w:ilvl w:val="0"/>
          <w:numId w:val="19"/>
        </w:numPr>
        <w:tabs>
          <w:tab w:val="left" w:pos="1560"/>
        </w:tabs>
        <w:ind w:left="1560"/>
        <w:jc w:val="both"/>
        <w:rPr>
          <w:rFonts w:ascii="Times New Roman" w:hAnsi="Times New Roman"/>
          <w:sz w:val="22"/>
          <w:szCs w:val="22"/>
        </w:rPr>
      </w:pPr>
      <w:r w:rsidRPr="00E2622D">
        <w:rPr>
          <w:rFonts w:ascii="Times New Roman" w:hAnsi="Times New Roman"/>
          <w:sz w:val="22"/>
          <w:szCs w:val="22"/>
        </w:rPr>
        <w:t>reject the application, giving his reasons and specifying the action which, in his opinion, is required of the contractor for the certificate to be issued.</w:t>
      </w:r>
    </w:p>
    <w:p w14:paraId="1BFE774D" w14:textId="77777777" w:rsidR="0099670D" w:rsidRPr="003D6B6C" w:rsidRDefault="0099670D" w:rsidP="0099670D">
      <w:pPr>
        <w:widowControl w:val="0"/>
        <w:tabs>
          <w:tab w:val="left" w:pos="1560"/>
        </w:tabs>
        <w:ind w:left="1200"/>
        <w:jc w:val="both"/>
        <w:rPr>
          <w:rFonts w:ascii="Times New Roman" w:hAnsi="Times New Roman"/>
          <w:sz w:val="22"/>
          <w:szCs w:val="22"/>
        </w:rPr>
      </w:pPr>
      <w:r w:rsidRPr="00E2622D">
        <w:rPr>
          <w:rFonts w:ascii="Times New Roman" w:hAnsi="Times New Roman"/>
          <w:sz w:val="22"/>
          <w:szCs w:val="22"/>
        </w:rPr>
        <w:t>The contracting authority’s time limit for issuing the certificate of provisional acceptance to the contractor shall not be considered included in the time limit for payments indicated in Article 26.3.</w:t>
      </w:r>
      <w:r>
        <w:rPr>
          <w:rFonts w:ascii="Times New Roman" w:hAnsi="Times New Roman"/>
          <w:sz w:val="22"/>
          <w:szCs w:val="22"/>
        </w:rPr>
        <w:t xml:space="preserve"> </w:t>
      </w:r>
    </w:p>
    <w:p w14:paraId="0C33984C" w14:textId="77777777" w:rsidR="0099670D" w:rsidRPr="003D6B6C" w:rsidRDefault="0099670D" w:rsidP="0099670D">
      <w:pPr>
        <w:spacing w:before="240"/>
        <w:ind w:left="1134" w:hanging="1134"/>
        <w:jc w:val="both"/>
        <w:rPr>
          <w:rFonts w:ascii="Times New Roman" w:hAnsi="Times New Roman"/>
          <w:b/>
          <w:sz w:val="24"/>
          <w:szCs w:val="24"/>
        </w:rPr>
      </w:pPr>
      <w:bookmarkStart w:id="17"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7"/>
      <w:r w:rsidRPr="003D6B6C">
        <w:rPr>
          <w:rFonts w:ascii="Times New Roman" w:hAnsi="Times New Roman"/>
          <w:b/>
          <w:sz w:val="24"/>
          <w:szCs w:val="24"/>
        </w:rPr>
        <w:t xml:space="preserve"> obligations</w:t>
      </w:r>
    </w:p>
    <w:p w14:paraId="32664E7D" w14:textId="77777777" w:rsidR="0099670D" w:rsidRDefault="0099670D" w:rsidP="0099670D">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B54DD0">
        <w:rPr>
          <w:rFonts w:ascii="Times New Roman" w:hAnsi="Times New Roman"/>
          <w:sz w:val="22"/>
          <w:szCs w:val="22"/>
        </w:rPr>
        <w:t xml:space="preserve"> </w:t>
      </w:r>
      <w:r>
        <w:rPr>
          <w:rFonts w:ascii="Times New Roman" w:hAnsi="Times New Roman"/>
          <w:sz w:val="22"/>
          <w:szCs w:val="22"/>
        </w:rPr>
        <w:t>The contractor shall at its own cost make good the defect or damage as soon as practicable for a period of 2 years after the provisional acceptance (contractor warranty). During the contractual warranty period, the contractor shall also provide preventive maintenance service and repairs at its own cost.</w:t>
      </w:r>
    </w:p>
    <w:p w14:paraId="19DDD1B4" w14:textId="77777777" w:rsidR="0099670D" w:rsidRDefault="0099670D" w:rsidP="0099670D">
      <w:pPr>
        <w:ind w:left="1134" w:hanging="708"/>
        <w:jc w:val="both"/>
        <w:rPr>
          <w:rFonts w:ascii="Times New Roman" w:hAnsi="Times New Roman"/>
          <w:sz w:val="22"/>
          <w:szCs w:val="22"/>
        </w:rPr>
      </w:pPr>
      <w:r>
        <w:rPr>
          <w:rFonts w:ascii="Times New Roman" w:hAnsi="Times New Roman"/>
          <w:sz w:val="22"/>
          <w:szCs w:val="22"/>
        </w:rPr>
        <w:tab/>
        <w:t>After the contractual and commercial warranty periods expired, the contractor shall guarantee to provide technical support services at beneficiary’s cost for 2 years.</w:t>
      </w:r>
    </w:p>
    <w:p w14:paraId="6DC29405" w14:textId="77777777" w:rsidR="0099670D" w:rsidRDefault="0099670D" w:rsidP="0099670D">
      <w:pPr>
        <w:ind w:left="1134"/>
        <w:jc w:val="both"/>
        <w:rPr>
          <w:rFonts w:ascii="Times New Roman" w:hAnsi="Times New Roman"/>
          <w:sz w:val="22"/>
          <w:szCs w:val="22"/>
        </w:rPr>
      </w:pPr>
      <w:r>
        <w:rPr>
          <w:rFonts w:ascii="Times New Roman" w:hAnsi="Times New Roman"/>
          <w:sz w:val="22"/>
          <w:szCs w:val="22"/>
        </w:rPr>
        <w:t>In case a preventive maintenance session has to be executed then the contractor shall inform the beneficiary at least 48 hours in advance of his intervention.</w:t>
      </w:r>
    </w:p>
    <w:p w14:paraId="5CB57568" w14:textId="77777777" w:rsidR="0099670D" w:rsidRDefault="0099670D" w:rsidP="0099670D">
      <w:pPr>
        <w:ind w:left="1134" w:hanging="708"/>
        <w:jc w:val="both"/>
        <w:rPr>
          <w:rFonts w:ascii="Times New Roman" w:hAnsi="Times New Roman"/>
          <w:sz w:val="22"/>
          <w:szCs w:val="22"/>
        </w:rPr>
      </w:pPr>
      <w:r>
        <w:rPr>
          <w:rFonts w:ascii="Times New Roman" w:hAnsi="Times New Roman"/>
          <w:sz w:val="22"/>
          <w:szCs w:val="22"/>
        </w:rPr>
        <w:tab/>
        <w:t xml:space="preserve">In the contractual warranty period the contractor has to troubleshoot the problem within 24 hours of the request, overcome the problem within 10 </w:t>
      </w:r>
      <w:r>
        <w:rPr>
          <w:rFonts w:ascii="Times New Roman" w:hAnsi="Times New Roman"/>
          <w:sz w:val="22"/>
          <w:szCs w:val="22"/>
        </w:rPr>
        <w:lastRenderedPageBreak/>
        <w:t>working days, and fully repair and re-integrate within maximum 30 working days. If the reparation of the broken equipment/part is not possible, the contractor shall replace that equipment/part with another equipment/part of the same trademark and same or higher model. No additional cost shall be borne by the contracting authority or the beneficiary. The contractor shall provide maintenance and repair services in Turkey.</w:t>
      </w:r>
    </w:p>
    <w:p w14:paraId="3865FEB5" w14:textId="77777777" w:rsidR="0099670D" w:rsidRPr="003D6B6C" w:rsidRDefault="0099670D" w:rsidP="0099670D">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w:t>
      </w:r>
      <w:r>
        <w:rPr>
          <w:rFonts w:ascii="Times New Roman" w:hAnsi="Times New Roman"/>
          <w:sz w:val="22"/>
          <w:szCs w:val="22"/>
        </w:rPr>
        <w:t xml:space="preserve">for two years </w:t>
      </w:r>
      <w:r w:rsidRPr="003D6B6C">
        <w:rPr>
          <w:rFonts w:ascii="Times New Roman" w:hAnsi="Times New Roman"/>
          <w:sz w:val="22"/>
          <w:szCs w:val="22"/>
        </w:rPr>
        <w:t>after provisional acceptance.</w:t>
      </w:r>
    </w:p>
    <w:p w14:paraId="3BE93D1F" w14:textId="77777777" w:rsidR="0099670D" w:rsidRPr="003D6B6C" w:rsidRDefault="0099670D" w:rsidP="0099670D">
      <w:pPr>
        <w:spacing w:before="240"/>
        <w:ind w:left="1134" w:hanging="1134"/>
        <w:jc w:val="both"/>
        <w:rPr>
          <w:rFonts w:ascii="Times New Roman" w:hAnsi="Times New Roman"/>
          <w:b/>
          <w:sz w:val="24"/>
          <w:szCs w:val="24"/>
        </w:rPr>
      </w:pPr>
      <w:bookmarkStart w:id="18" w:name="_Toc119839451"/>
      <w:bookmarkStart w:id="19"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8"/>
      <w:bookmarkEnd w:id="19"/>
    </w:p>
    <w:p w14:paraId="7DDAA028" w14:textId="77777777" w:rsidR="0099670D" w:rsidRPr="003D6B6C" w:rsidRDefault="0099670D" w:rsidP="0099670D">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Pr>
          <w:rFonts w:ascii="Times New Roman" w:hAnsi="Times New Roman"/>
          <w:sz w:val="22"/>
          <w:szCs w:val="22"/>
        </w:rPr>
        <w:t>Not applicable.</w:t>
      </w:r>
    </w:p>
    <w:p w14:paraId="473F0CD3" w14:textId="77777777" w:rsidR="0099670D" w:rsidRPr="00B54DD0" w:rsidRDefault="0099670D" w:rsidP="0099670D">
      <w:pPr>
        <w:spacing w:before="240"/>
        <w:ind w:left="1134" w:hanging="1134"/>
        <w:jc w:val="both"/>
        <w:rPr>
          <w:rFonts w:ascii="Times New Roman" w:hAnsi="Times New Roman"/>
          <w:b/>
          <w:sz w:val="24"/>
          <w:szCs w:val="24"/>
        </w:rPr>
      </w:pPr>
      <w:bookmarkStart w:id="20" w:name="_Toc124934917"/>
      <w:r w:rsidRPr="00B54DD0">
        <w:rPr>
          <w:rFonts w:ascii="Times New Roman" w:hAnsi="Times New Roman"/>
          <w:b/>
          <w:sz w:val="24"/>
          <w:szCs w:val="24"/>
        </w:rPr>
        <w:t>Article 40</w:t>
      </w:r>
      <w:r w:rsidRPr="00B54DD0">
        <w:rPr>
          <w:rFonts w:ascii="Times New Roman" w:hAnsi="Times New Roman"/>
          <w:b/>
          <w:sz w:val="24"/>
          <w:szCs w:val="24"/>
        </w:rPr>
        <w:tab/>
        <w:t>Settlement of disputes</w:t>
      </w:r>
      <w:bookmarkEnd w:id="20"/>
    </w:p>
    <w:p w14:paraId="58DBE2E0" w14:textId="77777777" w:rsidR="0099670D" w:rsidRPr="003D6B6C" w:rsidRDefault="0099670D" w:rsidP="0099670D">
      <w:pPr>
        <w:spacing w:before="0"/>
        <w:ind w:left="1134" w:hanging="708"/>
        <w:jc w:val="both"/>
        <w:rPr>
          <w:rFonts w:ascii="Times New Roman" w:hAnsi="Times New Roman"/>
          <w:sz w:val="22"/>
          <w:szCs w:val="22"/>
        </w:rPr>
      </w:pPr>
      <w:r w:rsidRPr="00B54DD0">
        <w:rPr>
          <w:rFonts w:ascii="Times New Roman" w:hAnsi="Times New Roman"/>
          <w:sz w:val="22"/>
          <w:szCs w:val="22"/>
        </w:rPr>
        <w:t>40.4</w:t>
      </w:r>
      <w:r w:rsidRPr="00B54DD0">
        <w:rPr>
          <w:rFonts w:ascii="Times New Roman" w:hAnsi="Times New Roman"/>
          <w:sz w:val="22"/>
          <w:szCs w:val="22"/>
        </w:rPr>
        <w:tab/>
      </w:r>
      <w:r w:rsidRPr="00E2622D">
        <w:rPr>
          <w:rFonts w:ascii="Times New Roman" w:hAnsi="Times New Roman"/>
          <w:sz w:val="22"/>
          <w:szCs w:val="22"/>
        </w:rPr>
        <w:t>Any disputes arising out of or relating to this contract which cannot be settled otherwise shall be referred to the exclusive jurisdiction of Kirklareli, Turkey in accordance with the national legislation of the state of the contracting authority.</w:t>
      </w:r>
      <w:r>
        <w:rPr>
          <w:rFonts w:ascii="Times New Roman" w:hAnsi="Times New Roman"/>
          <w:sz w:val="22"/>
          <w:szCs w:val="22"/>
        </w:rPr>
        <w:t xml:space="preserve"> </w:t>
      </w:r>
    </w:p>
    <w:p w14:paraId="069B9E9E" w14:textId="77777777" w:rsidR="0099670D" w:rsidRPr="003D6B6C" w:rsidRDefault="0099670D" w:rsidP="0099670D">
      <w:pPr>
        <w:ind w:left="1134" w:hanging="708"/>
        <w:jc w:val="both"/>
        <w:rPr>
          <w:rFonts w:ascii="Times New Roman" w:hAnsi="Times New Roman"/>
          <w:sz w:val="22"/>
          <w:szCs w:val="22"/>
          <w:lang w:bidi="kn-IN"/>
        </w:rPr>
      </w:pPr>
      <w:r w:rsidRPr="003D6B6C" w:rsidDel="00B54DD0">
        <w:rPr>
          <w:rFonts w:ascii="Times New Roman" w:hAnsi="Times New Roman"/>
          <w:sz w:val="22"/>
          <w:szCs w:val="22"/>
        </w:rPr>
        <w:t xml:space="preserve"> </w:t>
      </w:r>
    </w:p>
    <w:p w14:paraId="1B20D4D0" w14:textId="77777777" w:rsidR="0099670D" w:rsidRPr="003D6B6C" w:rsidRDefault="0099670D" w:rsidP="0099670D">
      <w:pPr>
        <w:ind w:left="567" w:hanging="567"/>
        <w:rPr>
          <w:rFonts w:ascii="Times New Roman" w:hAnsi="Times New Roman"/>
          <w:sz w:val="22"/>
          <w:szCs w:val="22"/>
          <w:highlight w:val="yellow"/>
        </w:rPr>
      </w:pPr>
    </w:p>
    <w:p w14:paraId="5590F8FE" w14:textId="77777777" w:rsidR="0099670D" w:rsidRPr="00E2622D" w:rsidRDefault="0099670D" w:rsidP="0099670D">
      <w:pPr>
        <w:keepNext/>
        <w:keepLines/>
        <w:tabs>
          <w:tab w:val="left" w:pos="1134"/>
        </w:tabs>
        <w:spacing w:before="240"/>
        <w:ind w:left="1134" w:hanging="1134"/>
        <w:rPr>
          <w:rFonts w:ascii="Times New Roman" w:hAnsi="Times New Roman"/>
          <w:b/>
          <w:sz w:val="24"/>
          <w:szCs w:val="24"/>
        </w:rPr>
      </w:pPr>
      <w:r w:rsidRPr="00E2622D">
        <w:rPr>
          <w:rFonts w:ascii="Times New Roman" w:hAnsi="Times New Roman"/>
          <w:b/>
          <w:sz w:val="24"/>
          <w:szCs w:val="24"/>
        </w:rPr>
        <w:t>Article 44</w:t>
      </w:r>
      <w:r w:rsidRPr="00E2622D">
        <w:rPr>
          <w:rFonts w:ascii="Times New Roman" w:hAnsi="Times New Roman"/>
          <w:b/>
          <w:sz w:val="24"/>
          <w:szCs w:val="24"/>
        </w:rPr>
        <w:tab/>
        <w:t>Data protection</w:t>
      </w:r>
    </w:p>
    <w:p w14:paraId="35AD026A" w14:textId="77777777" w:rsidR="0099670D" w:rsidRPr="00E2622D" w:rsidRDefault="0099670D" w:rsidP="0099670D">
      <w:pPr>
        <w:jc w:val="both"/>
        <w:rPr>
          <w:rFonts w:ascii="Times New Roman" w:hAnsi="Times New Roman"/>
          <w:sz w:val="22"/>
          <w:szCs w:val="22"/>
        </w:rPr>
      </w:pPr>
      <w:r w:rsidRPr="00E2622D">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494263B0" w14:textId="77777777" w:rsidR="0099670D" w:rsidRPr="003D6B6C" w:rsidRDefault="0099670D" w:rsidP="0099670D">
      <w:pPr>
        <w:jc w:val="center"/>
        <w:rPr>
          <w:sz w:val="22"/>
          <w:szCs w:val="22"/>
        </w:rPr>
      </w:pPr>
      <w:r w:rsidRPr="003D6B6C">
        <w:rPr>
          <w:sz w:val="22"/>
          <w:szCs w:val="22"/>
        </w:rPr>
        <w:t>* *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592E1C">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592E1C">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12F74636" w14:textId="77777777" w:rsidR="0099670D" w:rsidRPr="00C73F87" w:rsidRDefault="0099670D" w:rsidP="0099670D">
      <w:pPr>
        <w:pStyle w:val="FootnoteText"/>
        <w:rPr>
          <w:lang w:val="en-GB"/>
        </w:rPr>
      </w:pPr>
      <w:r w:rsidRPr="003D6B6C">
        <w:rPr>
          <w:rStyle w:val="FootnoteReference"/>
        </w:rPr>
        <w:footnoteRef/>
      </w:r>
      <w:r w:rsidRPr="00C73F87">
        <w:rPr>
          <w:lang w:val="en-GB"/>
        </w:rPr>
        <w:t xml:space="preserve"> See </w:t>
      </w:r>
      <w:r w:rsidRPr="001F24F0">
        <w:rPr>
          <w:lang w:val="en-GB"/>
        </w:rPr>
        <w:t>http://www.iccwbo.org/incoterms/</w:t>
      </w:r>
    </w:p>
  </w:footnote>
  <w:footnote w:id="2">
    <w:p w14:paraId="334D2EFB" w14:textId="77777777" w:rsidR="0099670D" w:rsidRPr="009F7E6A" w:rsidRDefault="0099670D" w:rsidP="0099670D">
      <w:pPr>
        <w:pStyle w:val="FootnoteText"/>
        <w:rPr>
          <w:highlight w:val="yellow"/>
          <w:lang w:val="en-GB"/>
        </w:rPr>
      </w:pPr>
      <w:r w:rsidRPr="008971E4">
        <w:rPr>
          <w:rStyle w:val="FootnoteReference"/>
        </w:rPr>
        <w:footnoteRef/>
      </w:r>
      <w:r w:rsidRPr="008971E4">
        <w:rPr>
          <w:lang w:val="en-GB"/>
        </w:rPr>
        <w:t xml:space="preserve"> Such risk assessment is required, for example, when a company is awarded a contract without itself meeting the selection criteria, but relying on the capacity of another company.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B1EB4" w14:textId="77777777" w:rsidR="00592E1C" w:rsidRDefault="00592E1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592E1C" w:rsidRPr="00E76B18" w14:paraId="59A911C2" w14:textId="77777777" w:rsidTr="00E2622D">
      <w:trPr>
        <w:trHeight w:val="1418"/>
      </w:trPr>
      <w:tc>
        <w:tcPr>
          <w:tcW w:w="5583" w:type="dxa"/>
          <w:shd w:val="clear" w:color="auto" w:fill="auto"/>
        </w:tcPr>
        <w:p w14:paraId="7243000C" w14:textId="77777777" w:rsidR="00592E1C" w:rsidRPr="00E76B18" w:rsidRDefault="00592E1C" w:rsidP="00E2622D">
          <w:pPr>
            <w:tabs>
              <w:tab w:val="center" w:pos="4536"/>
              <w:tab w:val="right" w:pos="9072"/>
            </w:tabs>
            <w:rPr>
              <w:rFonts w:cs="Arial"/>
              <w:bCs/>
              <w:i/>
              <w:lang w:val="it-IT"/>
            </w:rPr>
          </w:pPr>
          <w:r>
            <w:rPr>
              <w:noProof/>
              <w:snapToGrid/>
              <w:lang w:val="en-US"/>
            </w:rPr>
            <w:pict w14:anchorId="67E66F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p>
      </w:tc>
      <w:tc>
        <w:tcPr>
          <w:tcW w:w="1705" w:type="dxa"/>
          <w:shd w:val="clear" w:color="auto" w:fill="auto"/>
        </w:tcPr>
        <w:p w14:paraId="0F65AE72" w14:textId="77777777" w:rsidR="00592E1C" w:rsidRPr="00E76B18" w:rsidRDefault="00592E1C" w:rsidP="00E2622D">
          <w:pPr>
            <w:tabs>
              <w:tab w:val="center" w:pos="4536"/>
              <w:tab w:val="center" w:pos="5544"/>
              <w:tab w:val="right" w:pos="9072"/>
            </w:tabs>
            <w:rPr>
              <w:rFonts w:cs="Arial"/>
              <w:bCs/>
              <w:i/>
              <w:lang w:val="it-IT"/>
            </w:rPr>
          </w:pPr>
        </w:p>
      </w:tc>
      <w:tc>
        <w:tcPr>
          <w:tcW w:w="2102" w:type="dxa"/>
          <w:shd w:val="clear" w:color="auto" w:fill="auto"/>
        </w:tcPr>
        <w:p w14:paraId="4AE1F60C" w14:textId="77777777" w:rsidR="00592E1C" w:rsidRPr="00E76B18" w:rsidRDefault="00592E1C" w:rsidP="00E2622D">
          <w:pPr>
            <w:tabs>
              <w:tab w:val="center" w:pos="4536"/>
              <w:tab w:val="right" w:pos="9072"/>
            </w:tabs>
            <w:jc w:val="center"/>
            <w:rPr>
              <w:rFonts w:cs="Arial"/>
              <w:bCs/>
              <w:i/>
              <w:lang w:val="it-IT"/>
            </w:rPr>
          </w:pPr>
          <w:r>
            <w:rPr>
              <w:rFonts w:cs="Arial"/>
              <w:noProof/>
              <w:snapToGrid/>
              <w:lang w:val="en-US"/>
            </w:rPr>
            <w:pict w14:anchorId="0E446E2A">
              <v:shape id="_x0000_i1026" type="#_x0000_t75" alt="Description: Description: Описание: European Emblem" style="width:83pt;height:57pt;visibility:visible;mso-wrap-style:square">
                <v:imagedata r:id="rId2" o:title=" European Emblem"/>
              </v:shape>
            </w:pict>
          </w:r>
        </w:p>
      </w:tc>
    </w:tr>
  </w:tbl>
  <w:p w14:paraId="461B32CB" w14:textId="77777777" w:rsidR="00592E1C" w:rsidRPr="00E2622D" w:rsidRDefault="00592E1C" w:rsidP="00592E1C">
    <w:pPr>
      <w:tabs>
        <w:tab w:val="center" w:pos="4536"/>
        <w:tab w:val="right" w:pos="9072"/>
      </w:tabs>
      <w:jc w:val="center"/>
      <w:rPr>
        <w:b/>
        <w:i/>
        <w:iCs/>
        <w:color w:val="008000"/>
        <w:sz w:val="28"/>
        <w:szCs w:val="28"/>
        <w:lang w:val="en-US"/>
      </w:rPr>
    </w:pPr>
    <w:r w:rsidRPr="00D53C44">
      <w:rPr>
        <w:b/>
        <w:i/>
        <w:iCs/>
        <w:color w:val="008000"/>
        <w:sz w:val="28"/>
        <w:szCs w:val="28"/>
        <w:lang w:val="en-US"/>
      </w:rPr>
      <w:t>CB005.2.12.016 “</w:t>
    </w:r>
    <w:r w:rsidRPr="00D53C44">
      <w:rPr>
        <w:b/>
        <w:i/>
        <w:color w:val="008000"/>
        <w:sz w:val="28"/>
        <w:szCs w:val="28"/>
      </w:rPr>
      <w:t xml:space="preserve"> Forest Health</w:t>
    </w:r>
    <w:r w:rsidRPr="00D53C44">
      <w:rPr>
        <w:b/>
        <w:i/>
        <w:iCs/>
        <w:color w:val="008000"/>
        <w:sz w:val="28"/>
        <w:szCs w:val="28"/>
        <w:lang w:val="en-US"/>
      </w:rPr>
      <w:t>”</w:t>
    </w:r>
  </w:p>
  <w:p w14:paraId="629FB8BF" w14:textId="77777777" w:rsidR="00592E1C" w:rsidRDefault="00592E1C">
    <w:pPr>
      <w:pStyle w:val="Header"/>
    </w:pPr>
    <w:bookmarkStart w:id="21" w:name="_GoBack"/>
    <w:bookmarkEnd w:id="21"/>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867FC" w14:textId="77777777" w:rsidR="00592E1C" w:rsidRDefault="00592E1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2E1C"/>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670D"/>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97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ib.gov.tr/sites/default/files/uluslararasi_mevzuat/1_SIRA_NOLU_IPAII_GENEL_TEBLIGI_TR.pdf" TargetMode="External"/><Relationship Id="rId20" Type="http://schemas.openxmlformats.org/officeDocument/2006/relationships/theme" Target="theme/theme1.xml"/><Relationship Id="rId10" Type="http://schemas.openxmlformats.org/officeDocument/2006/relationships/hyperlink" Target="http://mevzuat.basbakanlik.gov.tr/Metin.Aspx?MevzuatKod=9.5.14369&amp;Mevzuatiliski=0&amp;sourceXmlSearch=T&#252;rkiye-%20AB%20Kat&#305;l&#305;m%20&#214;ncesi%20Yard&#305;m%20Arac&#305;,%20published%20in%20the%20Official%20Gazette%20of%20Turkey,%20No:27730,%20on%2015.10.2010.%20" TargetMode="External"/><Relationship Id="rId11" Type="http://schemas.openxmlformats.org/officeDocument/2006/relationships/hyperlink" Target="https://ec.europa.eu/europeaid/funding/communication-and-visibility-manual-eu-external-actions_en" TargetMode="External"/><Relationship Id="rId12" Type="http://schemas.openxmlformats.org/officeDocument/2006/relationships/hyperlink" Target="http://www.ipacbc-bgtr.eu/"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08B03-2500-9848-837B-2498DD2AC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6</Pages>
  <Words>2107</Words>
  <Characters>12013</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14092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26</cp:revision>
  <cp:lastPrinted>2014-02-11T14:32:00Z</cp:lastPrinted>
  <dcterms:created xsi:type="dcterms:W3CDTF">2018-12-18T11:40:00Z</dcterms:created>
  <dcterms:modified xsi:type="dcterms:W3CDTF">2020-09-08T13:02:00Z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