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16F6" w14:textId="77777777" w:rsidR="0047783A" w:rsidRPr="003D6B6C" w:rsidRDefault="0047783A" w:rsidP="00035D61">
      <w:pPr>
        <w:pStyle w:val="Balk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310B38F" w14:textId="77777777" w:rsidR="00927BD5" w:rsidRDefault="000724EA" w:rsidP="00927BD5">
      <w:pPr>
        <w:spacing w:before="0" w:after="0"/>
        <w:ind w:left="1134" w:hanging="1134"/>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927BD5" w:rsidRPr="006759ED">
        <w:rPr>
          <w:rFonts w:ascii="Times New Roman" w:hAnsi="Times New Roman"/>
          <w:b/>
          <w:snapToGrid/>
          <w:sz w:val="22"/>
          <w:szCs w:val="22"/>
          <w:lang w:eastAsia="en-GB"/>
        </w:rPr>
        <w:t>Contact details for the Contracting Authority</w:t>
      </w:r>
      <w:r w:rsidR="00927BD5" w:rsidRPr="000474DB">
        <w:rPr>
          <w:rFonts w:ascii="Times New Roman" w:hAnsi="Times New Roman"/>
          <w:sz w:val="22"/>
          <w:szCs w:val="22"/>
        </w:rPr>
        <w:t xml:space="preserve"> </w:t>
      </w:r>
    </w:p>
    <w:p w14:paraId="4E28CC3E" w14:textId="77777777" w:rsidR="00927BD5" w:rsidRDefault="00927BD5" w:rsidP="00927BD5">
      <w:pPr>
        <w:spacing w:before="0" w:after="0"/>
        <w:ind w:left="1134" w:hanging="1134"/>
        <w:rPr>
          <w:rFonts w:ascii="Times New Roman" w:hAnsi="Times New Roman"/>
          <w:sz w:val="22"/>
          <w:szCs w:val="22"/>
        </w:rPr>
      </w:pPr>
    </w:p>
    <w:p w14:paraId="2E25FCDE" w14:textId="32C517A4" w:rsidR="00927BD5" w:rsidRPr="000474DB" w:rsidRDefault="00927BD5" w:rsidP="00927BD5">
      <w:pPr>
        <w:spacing w:before="0" w:after="0"/>
        <w:ind w:left="1134" w:hanging="1134"/>
        <w:rPr>
          <w:rFonts w:ascii="Times New Roman" w:hAnsi="Times New Roman"/>
          <w:sz w:val="22"/>
          <w:szCs w:val="22"/>
        </w:rPr>
      </w:pPr>
      <w:r w:rsidRPr="000474DB">
        <w:rPr>
          <w:rFonts w:ascii="Times New Roman" w:hAnsi="Times New Roman"/>
          <w:sz w:val="22"/>
          <w:szCs w:val="22"/>
        </w:rPr>
        <w:t xml:space="preserve">Contact Person: </w:t>
      </w:r>
      <w:proofErr w:type="spellStart"/>
      <w:r w:rsidRPr="000474DB">
        <w:rPr>
          <w:rFonts w:ascii="Times New Roman" w:hAnsi="Times New Roman"/>
          <w:sz w:val="22"/>
          <w:szCs w:val="22"/>
        </w:rPr>
        <w:t>Nazife</w:t>
      </w:r>
      <w:proofErr w:type="spellEnd"/>
      <w:r w:rsidRPr="000474DB">
        <w:rPr>
          <w:rFonts w:ascii="Times New Roman" w:hAnsi="Times New Roman"/>
          <w:sz w:val="22"/>
          <w:szCs w:val="22"/>
        </w:rPr>
        <w:t xml:space="preserve"> </w:t>
      </w:r>
      <w:proofErr w:type="spellStart"/>
      <w:r w:rsidRPr="000474DB">
        <w:rPr>
          <w:rFonts w:ascii="Times New Roman" w:hAnsi="Times New Roman"/>
          <w:sz w:val="22"/>
          <w:szCs w:val="22"/>
        </w:rPr>
        <w:t>Gündoğdu</w:t>
      </w:r>
      <w:proofErr w:type="spellEnd"/>
      <w:r w:rsidRPr="000474DB">
        <w:rPr>
          <w:rFonts w:ascii="Times New Roman" w:hAnsi="Times New Roman"/>
          <w:sz w:val="22"/>
          <w:szCs w:val="22"/>
        </w:rPr>
        <w:t xml:space="preserve"> – Project Manager</w:t>
      </w:r>
    </w:p>
    <w:p w14:paraId="02629EF4" w14:textId="77777777" w:rsidR="00927BD5" w:rsidRPr="000474DB" w:rsidRDefault="00927BD5" w:rsidP="00927BD5">
      <w:pPr>
        <w:keepNext/>
        <w:keepLines/>
        <w:spacing w:before="0" w:after="0"/>
        <w:ind w:left="567" w:hanging="567"/>
        <w:rPr>
          <w:rFonts w:ascii="Times New Roman" w:hAnsi="Times New Roman"/>
          <w:sz w:val="22"/>
          <w:szCs w:val="22"/>
        </w:rPr>
      </w:pPr>
      <w:r w:rsidRPr="000474DB">
        <w:rPr>
          <w:rFonts w:ascii="Times New Roman" w:hAnsi="Times New Roman"/>
          <w:sz w:val="22"/>
          <w:szCs w:val="22"/>
        </w:rPr>
        <w:t>Tel: 0090 284 811 60 06</w:t>
      </w:r>
    </w:p>
    <w:p w14:paraId="1C78A300" w14:textId="77777777" w:rsidR="00927BD5" w:rsidRPr="000474DB" w:rsidRDefault="00927BD5" w:rsidP="00927BD5">
      <w:pPr>
        <w:keepNext/>
        <w:keepLines/>
        <w:spacing w:before="0" w:after="0"/>
        <w:ind w:left="567" w:hanging="567"/>
        <w:rPr>
          <w:rFonts w:ascii="Times New Roman" w:hAnsi="Times New Roman"/>
          <w:sz w:val="22"/>
          <w:szCs w:val="22"/>
        </w:rPr>
      </w:pPr>
      <w:r w:rsidRPr="000474DB">
        <w:rPr>
          <w:rFonts w:ascii="Times New Roman" w:hAnsi="Times New Roman"/>
          <w:sz w:val="22"/>
          <w:szCs w:val="22"/>
        </w:rPr>
        <w:t>e-mail: enezkaymakamligi@gmail.com</w:t>
      </w:r>
    </w:p>
    <w:p w14:paraId="5B11FEDB" w14:textId="77777777" w:rsidR="00927BD5" w:rsidRPr="00E04300" w:rsidRDefault="00927BD5" w:rsidP="00927BD5">
      <w:pPr>
        <w:keepNext/>
        <w:keepLines/>
        <w:ind w:left="567" w:hanging="567"/>
        <w:rPr>
          <w:rFonts w:ascii="Times New Roman" w:hAnsi="Times New Roman"/>
          <w:b/>
          <w:sz w:val="22"/>
          <w:szCs w:val="22"/>
        </w:rPr>
      </w:pPr>
      <w:r w:rsidRPr="00E04300">
        <w:rPr>
          <w:rFonts w:ascii="Times New Roman" w:hAnsi="Times New Roman"/>
          <w:b/>
          <w:snapToGrid/>
          <w:sz w:val="22"/>
          <w:szCs w:val="22"/>
          <w:lang w:eastAsia="en-GB"/>
        </w:rPr>
        <w:t>Contract details for the Contractor</w:t>
      </w:r>
      <w:r w:rsidRPr="00E04300">
        <w:rPr>
          <w:rFonts w:ascii="Times New Roman" w:hAnsi="Times New Roman"/>
          <w:b/>
          <w:sz w:val="22"/>
          <w:szCs w:val="22"/>
        </w:rPr>
        <w:t xml:space="preserve">: </w:t>
      </w:r>
    </w:p>
    <w:p w14:paraId="5C6B0FD1" w14:textId="02594062" w:rsidR="00927BD5" w:rsidRPr="00E04300" w:rsidRDefault="00927BD5" w:rsidP="00927BD5">
      <w:pPr>
        <w:keepNext/>
        <w:keepLines/>
        <w:spacing w:before="0" w:after="0"/>
        <w:ind w:left="567" w:hanging="567"/>
        <w:rPr>
          <w:rFonts w:ascii="Times New Roman" w:hAnsi="Times New Roman"/>
          <w:sz w:val="22"/>
          <w:szCs w:val="22"/>
        </w:rPr>
      </w:pPr>
      <w:r w:rsidRPr="00E04300">
        <w:rPr>
          <w:rFonts w:ascii="Times New Roman" w:hAnsi="Times New Roman"/>
          <w:sz w:val="22"/>
          <w:szCs w:val="22"/>
        </w:rPr>
        <w:t xml:space="preserve">Contact Person: </w:t>
      </w:r>
      <w:r w:rsidR="00E04300">
        <w:rPr>
          <w:rFonts w:ascii="Times New Roman" w:hAnsi="Times New Roman"/>
          <w:sz w:val="22"/>
          <w:szCs w:val="22"/>
        </w:rPr>
        <w:t>…………………</w:t>
      </w:r>
      <w:proofErr w:type="gramStart"/>
      <w:r w:rsidR="00E04300">
        <w:rPr>
          <w:rFonts w:ascii="Times New Roman" w:hAnsi="Times New Roman"/>
          <w:sz w:val="22"/>
          <w:szCs w:val="22"/>
        </w:rPr>
        <w:t>…..</w:t>
      </w:r>
      <w:proofErr w:type="gramEnd"/>
    </w:p>
    <w:p w14:paraId="124AB339" w14:textId="0787B570" w:rsidR="00927BD5" w:rsidRPr="00E04300" w:rsidRDefault="00927BD5" w:rsidP="00927BD5">
      <w:pPr>
        <w:keepNext/>
        <w:keepLines/>
        <w:spacing w:before="0" w:after="0"/>
        <w:ind w:left="567" w:hanging="567"/>
        <w:rPr>
          <w:rFonts w:ascii="Times New Roman" w:hAnsi="Times New Roman"/>
          <w:sz w:val="22"/>
          <w:szCs w:val="22"/>
        </w:rPr>
      </w:pPr>
      <w:r w:rsidRPr="00E04300">
        <w:rPr>
          <w:rFonts w:ascii="Times New Roman" w:hAnsi="Times New Roman"/>
          <w:sz w:val="22"/>
          <w:szCs w:val="22"/>
        </w:rPr>
        <w:t xml:space="preserve">Tel: </w:t>
      </w:r>
      <w:r w:rsidR="00E04300">
        <w:rPr>
          <w:rFonts w:ascii="Times New Roman" w:hAnsi="Times New Roman"/>
          <w:sz w:val="22"/>
          <w:szCs w:val="22"/>
        </w:rPr>
        <w:t>………………………………….</w:t>
      </w:r>
    </w:p>
    <w:p w14:paraId="794DFE9C" w14:textId="7D20CE9A" w:rsidR="0047783A" w:rsidRPr="00E04300" w:rsidRDefault="00927BD5" w:rsidP="00927BD5">
      <w:pPr>
        <w:rPr>
          <w:rFonts w:ascii="Times New Roman" w:hAnsi="Times New Roman"/>
          <w:sz w:val="22"/>
          <w:szCs w:val="22"/>
        </w:rPr>
      </w:pPr>
      <w:proofErr w:type="gramStart"/>
      <w:r w:rsidRPr="00E04300">
        <w:rPr>
          <w:rFonts w:ascii="Times New Roman" w:hAnsi="Times New Roman"/>
          <w:sz w:val="22"/>
          <w:szCs w:val="22"/>
        </w:rPr>
        <w:t>e-mail:</w:t>
      </w:r>
      <w:r w:rsidR="00E04300">
        <w:rPr>
          <w:rFonts w:ascii="Times New Roman" w:hAnsi="Times New Roman"/>
          <w:sz w:val="22"/>
          <w:szCs w:val="22"/>
        </w:rPr>
        <w:t>…</w:t>
      </w:r>
      <w:proofErr w:type="gramEnd"/>
      <w:r w:rsidR="00E04300">
        <w:rPr>
          <w:rFonts w:ascii="Times New Roman" w:hAnsi="Times New Roman"/>
          <w:sz w:val="22"/>
          <w:szCs w:val="22"/>
        </w:rPr>
        <w:t>…………………………….</w:t>
      </w:r>
    </w:p>
    <w:p w14:paraId="402D9C62" w14:textId="77777777" w:rsidR="006D3DE4" w:rsidRPr="006D3DE4" w:rsidRDefault="006D3DE4" w:rsidP="00C73F87">
      <w:pPr>
        <w:ind w:left="1134" w:hanging="567"/>
        <w:jc w:val="both"/>
        <w:rPr>
          <w:rFonts w:ascii="Times New Roman" w:hAnsi="Times New Roman"/>
          <w:sz w:val="22"/>
          <w:szCs w:val="22"/>
        </w:rPr>
      </w:pPr>
      <w:r w:rsidRPr="00E04300">
        <w:rPr>
          <w:rFonts w:ascii="Times New Roman" w:hAnsi="Times New Roman"/>
          <w:sz w:val="22"/>
          <w:szCs w:val="22"/>
        </w:rPr>
        <w:t>4.2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7F4F1EAB" w14:textId="77777777" w:rsidR="00B16F46" w:rsidRDefault="00B16F46" w:rsidP="00B16F46">
      <w:pPr>
        <w:spacing w:before="240"/>
        <w:rPr>
          <w:rFonts w:ascii="Times New Roman" w:hAnsi="Times New Roman"/>
          <w:sz w:val="22"/>
          <w:szCs w:val="22"/>
        </w:rPr>
      </w:pPr>
      <w:bookmarkStart w:id="4" w:name="_Toc124934899"/>
      <w:r w:rsidRPr="006759ED">
        <w:rPr>
          <w:rFonts w:ascii="Times New Roman" w:hAnsi="Times New Roman"/>
          <w:sz w:val="22"/>
          <w:szCs w:val="22"/>
        </w:rPr>
        <w:t>The Contractor should provide to the Project Manager copi</w:t>
      </w:r>
      <w:r>
        <w:rPr>
          <w:rFonts w:ascii="Times New Roman" w:hAnsi="Times New Roman"/>
          <w:sz w:val="22"/>
          <w:szCs w:val="22"/>
        </w:rPr>
        <w:t xml:space="preserve">es from the warranty documents, </w:t>
      </w:r>
      <w:r w:rsidRPr="006759ED">
        <w:rPr>
          <w:rFonts w:ascii="Times New Roman" w:hAnsi="Times New Roman"/>
          <w:sz w:val="22"/>
          <w:szCs w:val="22"/>
        </w:rPr>
        <w:t xml:space="preserve">certificates of the products etc. </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4"/>
    </w:p>
    <w:p w14:paraId="45F0AD5A" w14:textId="3096D308" w:rsidR="00B16F46" w:rsidRDefault="00B16F46" w:rsidP="00B16F46">
      <w:pPr>
        <w:spacing w:before="240"/>
        <w:jc w:val="both"/>
        <w:rPr>
          <w:rFonts w:ascii="Times New Roman" w:hAnsi="Times New Roman"/>
          <w:sz w:val="22"/>
        </w:rPr>
      </w:pPr>
      <w:r>
        <w:rPr>
          <w:rFonts w:ascii="Times New Roman" w:hAnsi="Times New Roman"/>
          <w:sz w:val="22"/>
        </w:rPr>
        <w:t>The European Union Commission and Republic of Turkey signed the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special charges or any other charge having equivalent effect. Please refer to the articles 27&amp;28 of the Framework Agreement and the Communiqués issued by:</w:t>
      </w:r>
    </w:p>
    <w:p w14:paraId="3D373169" w14:textId="77777777" w:rsidR="00B16F46" w:rsidRDefault="00B16F46" w:rsidP="00B16F46">
      <w:pPr>
        <w:numPr>
          <w:ilvl w:val="0"/>
          <w:numId w:val="25"/>
        </w:numPr>
        <w:snapToGrid w:val="0"/>
        <w:spacing w:before="240"/>
        <w:ind w:left="709" w:hanging="283"/>
        <w:jc w:val="both"/>
        <w:rPr>
          <w:rFonts w:ascii="Times New Roman" w:hAnsi="Times New Roman"/>
          <w:sz w:val="22"/>
        </w:rPr>
      </w:pPr>
      <w:r>
        <w:rPr>
          <w:rFonts w:ascii="Times New Roman" w:hAnsi="Times New Roman"/>
          <w:sz w:val="22"/>
        </w:rPr>
        <w:t>The Ministry of Trade (</w:t>
      </w:r>
      <w:proofErr w:type="spellStart"/>
      <w:r>
        <w:rPr>
          <w:rFonts w:ascii="Times New Roman" w:hAnsi="Times New Roman"/>
          <w:sz w:val="22"/>
        </w:rPr>
        <w:t>MoT</w:t>
      </w:r>
      <w:proofErr w:type="spellEnd"/>
      <w:r>
        <w:rPr>
          <w:rFonts w:ascii="Times New Roman" w:hAnsi="Times New Roman"/>
          <w:sz w:val="22"/>
        </w:rPr>
        <w:t xml:space="preserve">) thereto for further information, especially for exemption scope and implementation procedure, which are available at the </w:t>
      </w:r>
      <w:proofErr w:type="spellStart"/>
      <w:r>
        <w:rPr>
          <w:rFonts w:ascii="Times New Roman" w:hAnsi="Times New Roman"/>
          <w:sz w:val="22"/>
        </w:rPr>
        <w:t>MoF’s</w:t>
      </w:r>
      <w:proofErr w:type="spellEnd"/>
      <w:r>
        <w:rPr>
          <w:rFonts w:ascii="Times New Roman" w:hAnsi="Times New Roman"/>
          <w:sz w:val="22"/>
        </w:rPr>
        <w:t xml:space="preserve"> website at: </w:t>
      </w:r>
      <w:hyperlink r:id="rId8" w:history="1">
        <w:r>
          <w:rPr>
            <w:rStyle w:val="Kpr"/>
            <w:rFonts w:ascii="Times New Roman" w:hAnsi="Times New Roman"/>
            <w:sz w:val="22"/>
          </w:rPr>
          <w:t>http://www.gib.gov.tr/sites/default/files/uluslararasi_mevzuat/1_SIRA_NOLU_IPAII_GENEL_TEBLIGI_TR.pdf</w:t>
        </w:r>
      </w:hyperlink>
      <w:r>
        <w:rPr>
          <w:rFonts w:ascii="Times New Roman" w:hAnsi="Times New Roman"/>
          <w:sz w:val="22"/>
        </w:rPr>
        <w:t xml:space="preserve">. </w:t>
      </w:r>
    </w:p>
    <w:p w14:paraId="096F54AD" w14:textId="77777777" w:rsidR="00B16F46" w:rsidRDefault="00B16F46" w:rsidP="00B16F46">
      <w:pPr>
        <w:numPr>
          <w:ilvl w:val="0"/>
          <w:numId w:val="25"/>
        </w:numPr>
        <w:snapToGrid w:val="0"/>
        <w:spacing w:before="240"/>
        <w:ind w:left="709" w:hanging="283"/>
        <w:jc w:val="both"/>
        <w:rPr>
          <w:rFonts w:ascii="Times New Roman" w:hAnsi="Times New Roman"/>
          <w:sz w:val="22"/>
        </w:rPr>
      </w:pPr>
      <w:r>
        <w:rPr>
          <w:rFonts w:ascii="Times New Roman" w:hAnsi="Times New Roman"/>
          <w:sz w:val="22"/>
        </w:rPr>
        <w:t>The Ministry of Trade (</w:t>
      </w:r>
      <w:proofErr w:type="spellStart"/>
      <w:r>
        <w:rPr>
          <w:rFonts w:ascii="Times New Roman" w:hAnsi="Times New Roman"/>
          <w:sz w:val="22"/>
        </w:rPr>
        <w:t>MoT</w:t>
      </w:r>
      <w:proofErr w:type="spellEnd"/>
      <w:r>
        <w:rPr>
          <w:rFonts w:ascii="Times New Roman" w:hAnsi="Times New Roman"/>
          <w:sz w:val="22"/>
        </w:rPr>
        <w:t xml:space="preserve">) thereto for further information, especially for facilities extended for customs clearance, which is available at the </w:t>
      </w:r>
      <w:proofErr w:type="spellStart"/>
      <w:r>
        <w:rPr>
          <w:rFonts w:ascii="Times New Roman" w:hAnsi="Times New Roman"/>
          <w:sz w:val="22"/>
        </w:rPr>
        <w:t>MoCT’s</w:t>
      </w:r>
      <w:proofErr w:type="spellEnd"/>
      <w:r>
        <w:rPr>
          <w:rFonts w:ascii="Times New Roman" w:hAnsi="Times New Roman"/>
          <w:sz w:val="22"/>
        </w:rPr>
        <w:t xml:space="preserve"> website at: </w:t>
      </w:r>
      <w:hyperlink r:id="rId9" w:history="1">
        <w:r>
          <w:rPr>
            <w:rStyle w:val="Kpr"/>
            <w:rFonts w:ascii="Times New Roman" w:hAnsi="Times New Roman"/>
            <w:sz w:val="22"/>
          </w:rPr>
          <w:t xml:space="preserve">http://mevzuat.basbakanlik.gov.tr/Metin.Aspx?MevzuatKod=9.5.14369&amp;Mevzuatiliski=0&amp;sourceXmlSearch=Türkiye- AB </w:t>
        </w:r>
        <w:proofErr w:type="spellStart"/>
        <w:r>
          <w:rPr>
            <w:rStyle w:val="Kpr"/>
            <w:rFonts w:ascii="Times New Roman" w:hAnsi="Times New Roman"/>
            <w:sz w:val="22"/>
          </w:rPr>
          <w:t>Katılım</w:t>
        </w:r>
        <w:proofErr w:type="spellEnd"/>
        <w:r>
          <w:rPr>
            <w:rStyle w:val="Kpr"/>
            <w:rFonts w:ascii="Times New Roman" w:hAnsi="Times New Roman"/>
            <w:sz w:val="22"/>
          </w:rPr>
          <w:t xml:space="preserve"> </w:t>
        </w:r>
        <w:proofErr w:type="spellStart"/>
        <w:r>
          <w:rPr>
            <w:rStyle w:val="Kpr"/>
            <w:rFonts w:ascii="Times New Roman" w:hAnsi="Times New Roman"/>
            <w:sz w:val="22"/>
          </w:rPr>
          <w:t>Öncesi</w:t>
        </w:r>
        <w:proofErr w:type="spellEnd"/>
        <w:r>
          <w:rPr>
            <w:rStyle w:val="Kpr"/>
            <w:rFonts w:ascii="Times New Roman" w:hAnsi="Times New Roman"/>
            <w:sz w:val="22"/>
          </w:rPr>
          <w:t xml:space="preserve"> </w:t>
        </w:r>
        <w:proofErr w:type="spellStart"/>
        <w:r>
          <w:rPr>
            <w:rStyle w:val="Kpr"/>
            <w:rFonts w:ascii="Times New Roman" w:hAnsi="Times New Roman"/>
            <w:sz w:val="22"/>
          </w:rPr>
          <w:t>Yardım</w:t>
        </w:r>
        <w:proofErr w:type="spellEnd"/>
        <w:r>
          <w:rPr>
            <w:rStyle w:val="Kpr"/>
            <w:rFonts w:ascii="Times New Roman" w:hAnsi="Times New Roman"/>
            <w:sz w:val="22"/>
          </w:rPr>
          <w:t xml:space="preserve"> </w:t>
        </w:r>
        <w:proofErr w:type="spellStart"/>
        <w:r>
          <w:rPr>
            <w:rStyle w:val="Kpr"/>
            <w:rFonts w:ascii="Times New Roman" w:hAnsi="Times New Roman"/>
            <w:sz w:val="22"/>
          </w:rPr>
          <w:t>Aracı</w:t>
        </w:r>
        <w:proofErr w:type="spellEnd"/>
        <w:r>
          <w:rPr>
            <w:rStyle w:val="Kpr"/>
            <w:rFonts w:ascii="Times New Roman" w:hAnsi="Times New Roman"/>
            <w:sz w:val="22"/>
          </w:rPr>
          <w:t xml:space="preserve">, published in the Official Gazette of Turkey, No:27730, on 15.10.2010. </w:t>
        </w:r>
      </w:hyperlink>
    </w:p>
    <w:p w14:paraId="0F1027EC" w14:textId="77777777" w:rsidR="00B16F46" w:rsidRDefault="00B16F46" w:rsidP="00B16F46">
      <w:pPr>
        <w:spacing w:before="240"/>
        <w:jc w:val="both"/>
        <w:rPr>
          <w:rFonts w:ascii="Times New Roman" w:hAnsi="Times New Roman"/>
          <w:sz w:val="22"/>
        </w:rPr>
      </w:pPr>
      <w:r>
        <w:rPr>
          <w:rFonts w:ascii="Times New Roman" w:hAnsi="Times New Roman"/>
          <w:sz w:val="22"/>
        </w:rPr>
        <w:t>The contractor shall, within two weeks from the commencement of the contract, contact the contracting authority in order to receive information about the taxes and customs arrangements. The contractor will use its best endeavours to facilitate customs procedures and the freedom from clearance and taxes in accordance with Annex V – Taxes and Customs Arrangements.</w:t>
      </w:r>
    </w:p>
    <w:p w14:paraId="490BDFDD" w14:textId="00B8A077" w:rsidR="0047783A" w:rsidRPr="003D6B6C" w:rsidRDefault="0047783A" w:rsidP="00B34179">
      <w:pPr>
        <w:jc w:val="both"/>
        <w:rPr>
          <w:rFonts w:ascii="Times New Roman" w:hAnsi="Times New Roman"/>
          <w:sz w:val="22"/>
          <w:szCs w:val="22"/>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4A7FC5DC"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B16F46">
        <w:rPr>
          <w:rFonts w:ascii="Times New Roman" w:hAnsi="Times New Roman"/>
          <w:sz w:val="22"/>
          <w:szCs w:val="22"/>
        </w:rPr>
        <w:t xml:space="preserve">The Contractor must take necessary measures to ensure the vısıbılıty of the EU funding and the co-financing of the project. These visualization activities must comply with the rules lay down in the Communication and Visibility Manual for EU External Actions published on the  website of DG International Cooperation and Development: </w:t>
      </w:r>
      <w:hyperlink r:id="rId10" w:history="1">
        <w:r w:rsidR="00B16F46">
          <w:rPr>
            <w:rStyle w:val="Kpr"/>
            <w:rFonts w:ascii="Times New Roman" w:hAnsi="Times New Roman"/>
            <w:sz w:val="22"/>
            <w:szCs w:val="22"/>
          </w:rPr>
          <w:t>https://ec.europa.eu/europeaid/funding/communication-and-visibility-manual-eu-external-actions_en</w:t>
        </w:r>
      </w:hyperlink>
      <w:r w:rsidR="00B16F46">
        <w:rPr>
          <w:rFonts w:ascii="Times New Roman" w:hAnsi="Times New Roman"/>
          <w:sz w:val="22"/>
          <w:szCs w:val="22"/>
        </w:rPr>
        <w:t xml:space="preserve"> and with the visualization rules of the Interreg-IPA CBC Bulgaria – Turkey Programme 2014-2020 </w:t>
      </w:r>
      <w:hyperlink r:id="rId11" w:history="1">
        <w:r w:rsidR="00B16F46">
          <w:rPr>
            <w:rStyle w:val="Kpr"/>
          </w:rPr>
          <w:t>http://www.ipacbc-bgtr.eu/</w:t>
        </w:r>
      </w:hyperlink>
      <w:r w:rsidR="00B16F46">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8BB5AB" w14:textId="1A7801F3" w:rsidR="00B16F46" w:rsidRDefault="0047783A" w:rsidP="00B16F46">
      <w:pPr>
        <w:pStyle w:val="Balk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bookmarkStart w:id="6" w:name="_Toc124934901"/>
      <w:r w:rsidR="00B16F46" w:rsidRPr="003D6B6C">
        <w:rPr>
          <w:rFonts w:ascii="Times New Roman" w:hAnsi="Times New Roman"/>
          <w:sz w:val="22"/>
          <w:szCs w:val="22"/>
          <w:lang w:val="en-GB"/>
        </w:rPr>
        <w:t xml:space="preserve">All goods purchased must originate in a Member State of the European Union or a country covered by the </w:t>
      </w:r>
      <w:r w:rsidR="00B16F46">
        <w:rPr>
          <w:rFonts w:ascii="Times New Roman" w:hAnsi="Times New Roman"/>
          <w:sz w:val="22"/>
          <w:szCs w:val="22"/>
        </w:rPr>
        <w:t>Instrument for Pre-Accession Assistance (IPA II) programme</w:t>
      </w:r>
      <w:r w:rsidR="00B16F46" w:rsidRPr="003D6B6C">
        <w:rPr>
          <w:rFonts w:ascii="Times New Roman" w:hAnsi="Times New Roman"/>
          <w:sz w:val="22"/>
          <w:szCs w:val="22"/>
          <w:lang w:val="en-GB"/>
        </w:rPr>
        <w:t>. For these purposes, ‘origin’ means the place where the goods are mined, grown, produced or manufactured and/or from which services are provided. The origin of the goods must be determined according to the EU Customs Code or to the relevant international agreement applicable.</w:t>
      </w:r>
    </w:p>
    <w:p w14:paraId="08EF9462" w14:textId="77777777" w:rsidR="004766CA" w:rsidRPr="004766CA" w:rsidRDefault="004766CA" w:rsidP="004766CA"/>
    <w:p w14:paraId="7EC52381" w14:textId="77777777" w:rsidR="00B16F46" w:rsidRDefault="00B16F46" w:rsidP="00B16F46">
      <w:pPr>
        <w:spacing w:before="0"/>
        <w:ind w:left="414" w:firstLine="720"/>
        <w:jc w:val="both"/>
        <w:rPr>
          <w:rFonts w:ascii="Times New Roman" w:hAnsi="Times New Roman"/>
          <w:b/>
          <w:sz w:val="22"/>
          <w:szCs w:val="22"/>
        </w:rPr>
      </w:pPr>
      <w:r>
        <w:rPr>
          <w:rFonts w:ascii="Times New Roman" w:hAnsi="Times New Roman"/>
          <w:b/>
          <w:sz w:val="22"/>
          <w:szCs w:val="22"/>
        </w:rPr>
        <w:t>All supplies under this contract may originate from any country.</w:t>
      </w:r>
    </w:p>
    <w:p w14:paraId="08F8112F" w14:textId="66166774" w:rsidR="0047783A" w:rsidRPr="003D6B6C" w:rsidRDefault="0047783A" w:rsidP="00B16F46">
      <w:pPr>
        <w:pStyle w:val="Balk2"/>
        <w:keepNext w:val="0"/>
        <w:numPr>
          <w:ilvl w:val="1"/>
          <w:numId w:val="0"/>
        </w:numPr>
        <w:ind w:left="1134" w:hanging="708"/>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72A32B41" w14:textId="37A70673" w:rsidR="00B16F46" w:rsidRDefault="00F355C1" w:rsidP="004766CA">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bookmarkStart w:id="7" w:name="_Toc124934902"/>
      <w:r w:rsidR="004766CA">
        <w:rPr>
          <w:rFonts w:ascii="Times New Roman" w:hAnsi="Times New Roman"/>
          <w:sz w:val="22"/>
          <w:szCs w:val="22"/>
        </w:rPr>
        <w:t xml:space="preserve">Not </w:t>
      </w:r>
      <w:proofErr w:type="spellStart"/>
      <w:r w:rsidR="004766CA">
        <w:rPr>
          <w:rFonts w:ascii="Times New Roman" w:hAnsi="Times New Roman"/>
          <w:sz w:val="22"/>
          <w:szCs w:val="22"/>
        </w:rPr>
        <w:t>aplicable</w:t>
      </w:r>
      <w:proofErr w:type="spellEnd"/>
    </w:p>
    <w:p w14:paraId="7E65A926" w14:textId="0701FF13" w:rsidR="0047783A" w:rsidRPr="003D6B6C" w:rsidRDefault="0047783A" w:rsidP="00B16F46">
      <w:pPr>
        <w:ind w:left="1134" w:hanging="709"/>
        <w:jc w:val="both"/>
        <w:rPr>
          <w:rFonts w:ascii="Times New Roman" w:hAnsi="Times New Roman"/>
          <w:b/>
          <w:sz w:val="24"/>
          <w:szCs w:val="24"/>
        </w:rPr>
      </w:pPr>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1B534DBE" w14:textId="77777777" w:rsidR="00B16F46" w:rsidRPr="003D6B6C" w:rsidRDefault="004D33C9" w:rsidP="00B16F46">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B16F46">
        <w:rPr>
          <w:rFonts w:ascii="Times New Roman" w:hAnsi="Times New Roman"/>
          <w:sz w:val="22"/>
          <w:szCs w:val="22"/>
        </w:rPr>
        <w:t>‘</w:t>
      </w:r>
      <w:r w:rsidR="00B16F46" w:rsidRPr="000474DB">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to the contract value.</w:t>
      </w:r>
    </w:p>
    <w:p w14:paraId="65DA4544" w14:textId="77777777" w:rsidR="00B16F46" w:rsidRDefault="00B16F46" w:rsidP="00B16F46">
      <w:pPr>
        <w:ind w:left="720"/>
        <w:jc w:val="both"/>
        <w:rPr>
          <w:rFonts w:ascii="Times New Roman" w:hAnsi="Times New Roman"/>
          <w:color w:val="222222"/>
          <w:sz w:val="22"/>
          <w:szCs w:val="22"/>
          <w:lang w:val="en"/>
        </w:rPr>
      </w:pPr>
      <w:r>
        <w:rPr>
          <w:rFonts w:ascii="Times New Roman" w:hAnsi="Times New Roman"/>
          <w:sz w:val="22"/>
          <w:szCs w:val="22"/>
        </w:rPr>
        <w:t>12.2(</w:t>
      </w:r>
      <w:r w:rsidRPr="003D6B6C">
        <w:rPr>
          <w:rFonts w:ascii="Times New Roman" w:hAnsi="Times New Roman"/>
          <w:sz w:val="22"/>
          <w:szCs w:val="22"/>
        </w:rPr>
        <w:t>a), paragraph 1</w:t>
      </w:r>
      <w:r w:rsidRPr="0088446B">
        <w:rPr>
          <w:rFonts w:ascii="Times New Roman" w:hAnsi="Times New Roman"/>
          <w:color w:val="222222"/>
          <w:sz w:val="22"/>
          <w:szCs w:val="22"/>
          <w:lang w:val="en"/>
        </w:rPr>
        <w:t xml:space="preserve"> </w:t>
      </w:r>
      <w:r>
        <w:rPr>
          <w:rFonts w:ascii="Times New Roman" w:hAnsi="Times New Roman"/>
          <w:color w:val="222222"/>
          <w:sz w:val="22"/>
          <w:szCs w:val="22"/>
          <w:lang w:val="en"/>
        </w:rPr>
        <w:t>This type of insurance will vary depending on the nature of transport (land, air or sea) and the nature of the risks to be covered: loading, intermediate storage, unloading, including stowage and protection, theft, damage, loss, wetting, etc.</w:t>
      </w:r>
    </w:p>
    <w:p w14:paraId="01A03A58" w14:textId="77777777" w:rsidR="00B16F46" w:rsidRDefault="00B16F46" w:rsidP="00B16F46">
      <w:pPr>
        <w:ind w:left="720"/>
        <w:jc w:val="both"/>
        <w:rPr>
          <w:rFonts w:ascii="Times New Roman" w:hAnsi="Times New Roman"/>
          <w:color w:val="222222"/>
          <w:sz w:val="22"/>
          <w:szCs w:val="22"/>
          <w:lang w:val="en"/>
        </w:rPr>
      </w:pPr>
      <w:r>
        <w:rPr>
          <w:rFonts w:ascii="Times New Roman" w:hAnsi="Times New Roman"/>
          <w:color w:val="222222"/>
          <w:sz w:val="22"/>
          <w:szCs w:val="22"/>
          <w:lang w:val="en"/>
        </w:rPr>
        <w:t>In the case of use of Incoterms, the contractor shall provide transport insurance to the extent that it assumes transportation risks. The question of the extent of the risks assumed by the contractor (seller) depends in particular on the Incoterms used:</w:t>
      </w:r>
    </w:p>
    <w:p w14:paraId="7AEAE003" w14:textId="77777777" w:rsidR="00B16F46" w:rsidRDefault="00B16F46" w:rsidP="00B16F46">
      <w:pPr>
        <w:pStyle w:val="Default"/>
        <w:numPr>
          <w:ilvl w:val="0"/>
          <w:numId w:val="22"/>
        </w:numPr>
        <w:ind w:left="1418" w:hanging="709"/>
        <w:jc w:val="both"/>
        <w:rPr>
          <w:sz w:val="22"/>
          <w:szCs w:val="22"/>
        </w:rPr>
      </w:pPr>
      <w:r>
        <w:rPr>
          <w:b/>
          <w:i/>
          <w:iCs/>
          <w:sz w:val="22"/>
          <w:szCs w:val="22"/>
        </w:rPr>
        <w:t>DDP - Delivered Duty Paid</w:t>
      </w:r>
      <w:r>
        <w:rPr>
          <w:i/>
          <w:iCs/>
          <w:sz w:val="22"/>
          <w:szCs w:val="22"/>
        </w:rPr>
        <w:t xml:space="preserve">: </w:t>
      </w:r>
      <w:r>
        <w:rPr>
          <w:color w:val="222222"/>
          <w:sz w:val="22"/>
          <w:szCs w:val="22"/>
          <w:lang w:val="en"/>
        </w:rPr>
        <w:t>Incoterm which imposes on the seller maximum obligations vis-à-vis transportation and loss risks and damage associated with the goods:</w:t>
      </w:r>
    </w:p>
    <w:p w14:paraId="1FA0CD14" w14:textId="77777777" w:rsidR="00B16F46" w:rsidRDefault="00B16F46" w:rsidP="00B16F46">
      <w:pPr>
        <w:pStyle w:val="Default"/>
        <w:spacing w:after="120"/>
        <w:ind w:left="1440"/>
        <w:jc w:val="both"/>
        <w:rPr>
          <w:color w:val="222222"/>
          <w:sz w:val="22"/>
          <w:szCs w:val="22"/>
          <w:lang w:val="en"/>
        </w:rPr>
      </w:pPr>
      <w:r>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Style w:val="DipnotBavurusu"/>
          <w:i/>
          <w:iCs/>
          <w:sz w:val="22"/>
          <w:szCs w:val="22"/>
        </w:rPr>
        <w:footnoteReference w:id="1"/>
      </w:r>
      <w:r>
        <w:rPr>
          <w:i/>
          <w:iCs/>
          <w:sz w:val="22"/>
          <w:szCs w:val="22"/>
        </w:rPr>
        <w:t xml:space="preserve"> </w:t>
      </w:r>
      <w:r>
        <w:rPr>
          <w:color w:val="222222"/>
          <w:sz w:val="22"/>
          <w:szCs w:val="22"/>
          <w:lang w:val="en"/>
        </w:rPr>
        <w:t>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63FE92F4"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4766CA">
        <w:rPr>
          <w:rFonts w:ascii="Times New Roman" w:hAnsi="Times New Roman"/>
          <w:sz w:val="22"/>
          <w:szCs w:val="22"/>
        </w:rPr>
        <w:t xml:space="preserve">The implementation period of the contract is </w:t>
      </w:r>
      <w:r w:rsidR="004766CA">
        <w:rPr>
          <w:rFonts w:ascii="Times New Roman" w:hAnsi="Times New Roman"/>
          <w:sz w:val="22"/>
          <w:szCs w:val="22"/>
        </w:rPr>
        <w:t xml:space="preserve">90 </w:t>
      </w:r>
      <w:r w:rsidR="004766CA">
        <w:rPr>
          <w:rFonts w:ascii="Times New Roman" w:hAnsi="Times New Roman"/>
          <w:sz w:val="22"/>
          <w:szCs w:val="22"/>
        </w:rPr>
        <w:t>days after signature by both parties.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345E256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9B545F" w:rsidRPr="001967BF">
        <w:rPr>
          <w:rFonts w:ascii="Times New Roman" w:hAnsi="Times New Roman"/>
          <w:sz w:val="22"/>
          <w:szCs w:val="22"/>
        </w:rPr>
        <w:t>No</w:t>
      </w:r>
      <w:r w:rsidR="00820052">
        <w:rPr>
          <w:rFonts w:ascii="Times New Roman" w:hAnsi="Times New Roman"/>
          <w:sz w:val="22"/>
          <w:szCs w:val="22"/>
        </w:rPr>
        <w:t>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C7BCCE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15.1</w:t>
      </w:r>
      <w:r w:rsidRPr="003D6B6C">
        <w:rPr>
          <w:rFonts w:ascii="Times New Roman" w:hAnsi="Times New Roman"/>
          <w:sz w:val="22"/>
          <w:szCs w:val="22"/>
        </w:rPr>
        <w:tab/>
      </w:r>
      <w:r w:rsidR="009B545F" w:rsidRPr="001967BF">
        <w:rPr>
          <w:rFonts w:ascii="Times New Roman" w:hAnsi="Times New Roman"/>
          <w:sz w:val="22"/>
          <w:szCs w:val="22"/>
        </w:rPr>
        <w:t>No derogation from the General Conditions</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74A3462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B545F" w:rsidRPr="001967BF">
        <w:rPr>
          <w:rFonts w:ascii="Times New Roman" w:hAnsi="Times New Roman"/>
          <w:sz w:val="22"/>
          <w:szCs w:val="22"/>
        </w:rPr>
        <w:t>No derogation from the General Conditions</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1ECDD59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9B545F" w:rsidRPr="001967BF">
        <w:rPr>
          <w:rFonts w:ascii="Times New Roman" w:hAnsi="Times New Roman"/>
          <w:sz w:val="22"/>
          <w:szCs w:val="22"/>
        </w:rPr>
        <w:t>No derogation from the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38935525" w14:textId="77777777" w:rsidR="009B545F" w:rsidRDefault="0047783A" w:rsidP="009B545F">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bookmarkStart w:id="13" w:name="_Toc124934908"/>
      <w:r w:rsidR="009B545F">
        <w:rPr>
          <w:rFonts w:ascii="Times New Roman" w:hAnsi="Times New Roman"/>
          <w:sz w:val="22"/>
          <w:szCs w:val="22"/>
        </w:rPr>
        <w:t>The period of implementation of tasks will commence on the date of the signature of the contract by both parties.</w:t>
      </w:r>
    </w:p>
    <w:p w14:paraId="463EE055" w14:textId="77777777" w:rsidR="009B545F" w:rsidRDefault="009B545F" w:rsidP="009B545F">
      <w:pPr>
        <w:jc w:val="both"/>
        <w:rPr>
          <w:rFonts w:ascii="Times New Roman" w:hAnsi="Times New Roman"/>
          <w:sz w:val="22"/>
          <w:szCs w:val="22"/>
        </w:rPr>
      </w:pPr>
    </w:p>
    <w:p w14:paraId="40415148" w14:textId="0736393F" w:rsidR="0047783A" w:rsidRPr="003D6B6C" w:rsidRDefault="0047783A" w:rsidP="009B545F">
      <w:pPr>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79039C4F"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B545F" w:rsidRPr="00823E91">
        <w:rPr>
          <w:rFonts w:ascii="Times New Roman" w:hAnsi="Times New Roman"/>
          <w:sz w:val="22"/>
          <w:szCs w:val="22"/>
        </w:rPr>
        <w:t xml:space="preserve">The implementation period of the tasks is </w:t>
      </w:r>
      <w:r w:rsidR="00E04300">
        <w:rPr>
          <w:rFonts w:ascii="Times New Roman" w:hAnsi="Times New Roman"/>
          <w:sz w:val="22"/>
          <w:szCs w:val="22"/>
        </w:rPr>
        <w:t>3</w:t>
      </w:r>
      <w:r w:rsidR="009B545F">
        <w:rPr>
          <w:rFonts w:ascii="Times New Roman" w:hAnsi="Times New Roman"/>
          <w:sz w:val="22"/>
          <w:szCs w:val="22"/>
        </w:rPr>
        <w:t xml:space="preserve"> months</w:t>
      </w:r>
      <w:r w:rsidR="009B545F" w:rsidRPr="00823E91">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6879C84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B545F">
        <w:rPr>
          <w:rFonts w:ascii="Times New Roman" w:hAnsi="Times New Roman"/>
          <w:sz w:val="22"/>
          <w:szCs w:val="22"/>
        </w:rPr>
        <w:t>In line with the proposed Technical specifications of the Contractor and approved by the commission.</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3EA032AA" w14:textId="77777777" w:rsidR="009B545F" w:rsidRDefault="005B0129" w:rsidP="009B545F">
      <w:pPr>
        <w:ind w:left="1134" w:hanging="709"/>
        <w:jc w:val="both"/>
        <w:rPr>
          <w:rFonts w:ascii="Times New Roman" w:hAnsi="Times New Roman"/>
          <w:bCs/>
          <w:sz w:val="22"/>
          <w:szCs w:val="22"/>
          <w:lang w:val="en-US"/>
        </w:rPr>
      </w:pPr>
      <w:r w:rsidRPr="003D6B6C">
        <w:rPr>
          <w:rFonts w:ascii="Times New Roman" w:hAnsi="Times New Roman"/>
          <w:bCs/>
          <w:sz w:val="22"/>
          <w:szCs w:val="22"/>
        </w:rPr>
        <w:t>25.2</w:t>
      </w:r>
      <w:r w:rsidRPr="003D6B6C">
        <w:rPr>
          <w:rFonts w:ascii="Times New Roman" w:hAnsi="Times New Roman"/>
          <w:bCs/>
          <w:sz w:val="22"/>
          <w:szCs w:val="22"/>
        </w:rPr>
        <w:tab/>
      </w:r>
      <w:bookmarkStart w:id="16" w:name="_Toc124934912"/>
      <w:r w:rsidR="009B545F">
        <w:rPr>
          <w:rFonts w:ascii="Times New Roman" w:hAnsi="Times New Roman"/>
          <w:bCs/>
          <w:sz w:val="22"/>
          <w:szCs w:val="22"/>
        </w:rPr>
        <w:t>T</w:t>
      </w:r>
      <w:r w:rsidR="009B545F">
        <w:rPr>
          <w:rFonts w:ascii="Times New Roman" w:hAnsi="Times New Roman"/>
          <w:bCs/>
          <w:sz w:val="22"/>
          <w:szCs w:val="22"/>
          <w:lang w:val="en-US"/>
        </w:rPr>
        <w:t>he inspection and testing of all supplies will be started and completed within a maximum of 30 calendar days after each delivery phase by the beneficiary. During the inspection and testing procedure, the quantities, the technical performances the technical specifications and technical documentation will be verified. At least one week before the completion of delivery, the supplier will inform the contracting authority and the beneficiary about the possible schedule for inspection and testing procedures</w:t>
      </w:r>
    </w:p>
    <w:p w14:paraId="63DFED1C" w14:textId="77777777" w:rsidR="009B545F" w:rsidRDefault="009B545F" w:rsidP="009B545F">
      <w:pPr>
        <w:jc w:val="both"/>
        <w:rPr>
          <w:rFonts w:ascii="Times New Roman" w:hAnsi="Times New Roman"/>
          <w:bCs/>
          <w:sz w:val="22"/>
          <w:szCs w:val="22"/>
          <w:lang w:val="en-US"/>
        </w:rPr>
      </w:pPr>
    </w:p>
    <w:p w14:paraId="76351DF5" w14:textId="22C4683F" w:rsidR="0047783A" w:rsidRPr="003D6B6C" w:rsidRDefault="0047783A" w:rsidP="009B545F">
      <w:pPr>
        <w:jc w:val="both"/>
        <w:rPr>
          <w:rFonts w:ascii="Times New Roman" w:hAnsi="Times New Roman"/>
          <w:b/>
          <w:sz w:val="24"/>
          <w:szCs w:val="24"/>
        </w:rPr>
      </w:pPr>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7020F2D6" w14:textId="77777777" w:rsidR="009B545F" w:rsidRPr="003D6B6C" w:rsidRDefault="0047783A" w:rsidP="009B545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bookmarkStart w:id="17" w:name="_Toc124934913"/>
      <w:r w:rsidR="009B545F" w:rsidRPr="003D6B6C">
        <w:rPr>
          <w:rFonts w:ascii="Times New Roman" w:hAnsi="Times New Roman"/>
          <w:sz w:val="22"/>
          <w:szCs w:val="22"/>
        </w:rPr>
        <w:t>Payments shall be made in</w:t>
      </w:r>
      <w:r w:rsidR="009B545F">
        <w:rPr>
          <w:rFonts w:ascii="Times New Roman" w:hAnsi="Times New Roman"/>
          <w:sz w:val="22"/>
          <w:szCs w:val="22"/>
        </w:rPr>
        <w:t xml:space="preserve"> E</w:t>
      </w:r>
      <w:r w:rsidR="009B545F" w:rsidRPr="00823E91">
        <w:rPr>
          <w:rFonts w:ascii="Times New Roman" w:hAnsi="Times New Roman"/>
          <w:sz w:val="22"/>
          <w:szCs w:val="22"/>
        </w:rPr>
        <w:t>uro.</w:t>
      </w:r>
    </w:p>
    <w:p w14:paraId="3B10FE0B" w14:textId="77777777" w:rsidR="009B545F" w:rsidRPr="003D6B6C" w:rsidRDefault="009B545F" w:rsidP="009B545F">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 xml:space="preserve">the District Governor of </w:t>
      </w:r>
      <w:proofErr w:type="spellStart"/>
      <w:r>
        <w:rPr>
          <w:rFonts w:ascii="Times New Roman" w:hAnsi="Times New Roman"/>
          <w:sz w:val="22"/>
          <w:szCs w:val="22"/>
        </w:rPr>
        <w:t>Enez</w:t>
      </w:r>
      <w:proofErr w:type="spellEnd"/>
      <w:r>
        <w:rPr>
          <w:rFonts w:ascii="Times New Roman" w:hAnsi="Times New Roman"/>
          <w:sz w:val="22"/>
          <w:szCs w:val="22"/>
        </w:rPr>
        <w:t>.</w:t>
      </w:r>
    </w:p>
    <w:p w14:paraId="15EEC10B" w14:textId="77777777" w:rsidR="009B545F" w:rsidRPr="003D6B6C" w:rsidRDefault="009B545F" w:rsidP="009B545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967BF">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14:paraId="03707CB2" w14:textId="77777777" w:rsidR="009B545F" w:rsidRPr="003D6B6C" w:rsidRDefault="009B545F" w:rsidP="009B545F">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0D6C66E6" w14:textId="0BE4147E" w:rsidR="009B545F" w:rsidRPr="00B84F33" w:rsidRDefault="009B545F" w:rsidP="009B545F">
      <w:pPr>
        <w:ind w:left="1560" w:hanging="426"/>
        <w:jc w:val="both"/>
        <w:rPr>
          <w:rFonts w:ascii="Times New Roman" w:hAnsi="Times New Roman"/>
          <w:bCs/>
          <w:sz w:val="22"/>
          <w:szCs w:val="22"/>
        </w:rPr>
      </w:pPr>
      <w:r w:rsidRPr="003D6B6C">
        <w:rPr>
          <w:rFonts w:ascii="Times New Roman" w:hAnsi="Times New Roman"/>
          <w:sz w:val="22"/>
          <w:szCs w:val="22"/>
        </w:rPr>
        <w:lastRenderedPageBreak/>
        <w:t>a)</w:t>
      </w:r>
      <w:r w:rsidRPr="00B84F33">
        <w:rPr>
          <w:rFonts w:ascii="Times New Roman" w:hAnsi="Times New Roman"/>
          <w:b/>
          <w:sz w:val="22"/>
          <w:szCs w:val="22"/>
        </w:rPr>
        <w:tab/>
      </w:r>
      <w:r w:rsidRPr="00B84F33">
        <w:rPr>
          <w:rFonts w:ascii="Times New Roman" w:hAnsi="Times New Roman"/>
          <w:sz w:val="22"/>
          <w:szCs w:val="22"/>
        </w:rPr>
        <w:t xml:space="preserve">For the </w:t>
      </w:r>
      <w:r w:rsidR="00E04300">
        <w:rPr>
          <w:rFonts w:ascii="Times New Roman" w:hAnsi="Times New Roman"/>
          <w:sz w:val="22"/>
          <w:szCs w:val="22"/>
        </w:rPr>
        <w:t>40</w:t>
      </w:r>
      <w:r w:rsidRPr="00B84F33">
        <w:rPr>
          <w:rFonts w:ascii="Times New Roman" w:hAnsi="Times New Roman"/>
          <w:sz w:val="22"/>
          <w:szCs w:val="22"/>
        </w:rPr>
        <w:t xml:space="preserve">% pre-financing, </w:t>
      </w:r>
      <w:r w:rsidRPr="00B84F33">
        <w:rPr>
          <w:rFonts w:ascii="Times New Roman" w:hAnsi="Times New Roman"/>
          <w:bCs/>
          <w:sz w:val="22"/>
          <w:szCs w:val="22"/>
        </w:rPr>
        <w:t xml:space="preserve">by derogation from article </w:t>
      </w:r>
      <w:r w:rsidRPr="00B84F33">
        <w:rPr>
          <w:rFonts w:ascii="Times New Roman" w:hAnsi="Times New Roman"/>
          <w:sz w:val="22"/>
          <w:szCs w:val="22"/>
        </w:rPr>
        <w:t xml:space="preserve">26.5 of the general conditions, </w:t>
      </w:r>
      <w:r w:rsidRPr="00B84F33">
        <w:rPr>
          <w:rFonts w:ascii="Times New Roman" w:hAnsi="Times New Roman"/>
          <w:bCs/>
          <w:sz w:val="22"/>
          <w:szCs w:val="22"/>
        </w:rPr>
        <w:t>no pre-financing guarantee is required. Invoice shall be submitted to the Contracting Authority.</w:t>
      </w:r>
    </w:p>
    <w:p w14:paraId="12B43BCE" w14:textId="6695907C" w:rsidR="009B545F" w:rsidRPr="00C20F05" w:rsidRDefault="009B545F" w:rsidP="009B545F">
      <w:pPr>
        <w:spacing w:after="0"/>
        <w:ind w:left="1559" w:hanging="425"/>
        <w:jc w:val="both"/>
        <w:rPr>
          <w:rFonts w:ascii="Times New Roman" w:hAnsi="Times New Roman"/>
          <w:sz w:val="22"/>
          <w:szCs w:val="22"/>
        </w:rPr>
      </w:pPr>
      <w:r w:rsidRPr="00B84F33">
        <w:rPr>
          <w:rFonts w:ascii="Times New Roman" w:hAnsi="Times New Roman"/>
          <w:sz w:val="22"/>
          <w:szCs w:val="22"/>
        </w:rPr>
        <w:t>b)</w:t>
      </w:r>
      <w:r w:rsidRPr="00B84F33">
        <w:rPr>
          <w:rFonts w:ascii="Times New Roman" w:hAnsi="Times New Roman"/>
          <w:b/>
          <w:sz w:val="22"/>
          <w:szCs w:val="22"/>
        </w:rPr>
        <w:tab/>
      </w:r>
      <w:r w:rsidRPr="00B84F33">
        <w:rPr>
          <w:rFonts w:ascii="Times New Roman" w:hAnsi="Times New Roman"/>
          <w:sz w:val="22"/>
          <w:szCs w:val="22"/>
        </w:rPr>
        <w:t xml:space="preserve">For the </w:t>
      </w:r>
      <w:r w:rsidR="00E04300">
        <w:rPr>
          <w:rFonts w:ascii="Times New Roman" w:hAnsi="Times New Roman"/>
          <w:sz w:val="22"/>
          <w:szCs w:val="22"/>
        </w:rPr>
        <w:t>60</w:t>
      </w:r>
      <w:r w:rsidRPr="00B84F33">
        <w:rPr>
          <w:rFonts w:ascii="Times New Roman" w:hAnsi="Times New Roman"/>
          <w:w w:val="50"/>
          <w:sz w:val="22"/>
          <w:szCs w:val="22"/>
        </w:rPr>
        <w:t> </w:t>
      </w:r>
      <w:r w:rsidRPr="00B84F33">
        <w:rPr>
          <w:rFonts w:ascii="Times New Roman" w:hAnsi="Times New Roman"/>
          <w:sz w:val="22"/>
          <w:szCs w:val="22"/>
        </w:rPr>
        <w:t xml:space="preserve">% balance, the invoice(s) in duplicate together with the request for provisional acceptance </w:t>
      </w:r>
      <w:r w:rsidRPr="003D6B6C">
        <w:rPr>
          <w:rFonts w:ascii="Times New Roman" w:hAnsi="Times New Roman"/>
          <w:sz w:val="22"/>
          <w:szCs w:val="22"/>
        </w:rPr>
        <w:t>of the supplies.</w:t>
      </w:r>
    </w:p>
    <w:p w14:paraId="39D67CE4" w14:textId="1042DCE5" w:rsidR="0047783A" w:rsidRPr="003D6B6C" w:rsidRDefault="0047783A" w:rsidP="009B545F">
      <w:pPr>
        <w:tabs>
          <w:tab w:val="right" w:pos="9885"/>
        </w:tabs>
        <w:ind w:left="1134" w:hanging="709"/>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4A4E4CF3" w:rsidR="0047783A" w:rsidRPr="003D6B6C" w:rsidRDefault="0047783A" w:rsidP="009B545F">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009B545F">
        <w:rPr>
          <w:rFonts w:ascii="Times New Roman" w:hAnsi="Times New Roman"/>
          <w:snapToGrid/>
          <w:sz w:val="22"/>
          <w:szCs w:val="22"/>
          <w:lang w:eastAsia="en-GB"/>
        </w:rPr>
        <w:tab/>
      </w:r>
      <w:r w:rsidRPr="009B545F">
        <w:rPr>
          <w:rFonts w:ascii="Times New Roman" w:hAnsi="Times New Roman"/>
          <w:snapToGrid/>
          <w:sz w:val="22"/>
          <w:szCs w:val="22"/>
          <w:lang w:eastAsia="en-GB"/>
        </w:rPr>
        <w:t xml:space="preserve">By derogation from Article 28.2 of the </w:t>
      </w:r>
      <w:r w:rsidR="00F60098" w:rsidRPr="009B545F">
        <w:rPr>
          <w:rFonts w:ascii="Times New Roman" w:hAnsi="Times New Roman"/>
          <w:snapToGrid/>
          <w:sz w:val="22"/>
          <w:szCs w:val="22"/>
          <w:lang w:eastAsia="en-GB"/>
        </w:rPr>
        <w:t>g</w:t>
      </w:r>
      <w:r w:rsidRPr="009B545F">
        <w:rPr>
          <w:rFonts w:ascii="Times New Roman" w:hAnsi="Times New Roman"/>
          <w:snapToGrid/>
          <w:sz w:val="22"/>
          <w:szCs w:val="22"/>
          <w:lang w:eastAsia="en-GB"/>
        </w:rPr>
        <w:t xml:space="preserve">eneral </w:t>
      </w:r>
      <w:r w:rsidR="00F60098" w:rsidRPr="009B545F">
        <w:rPr>
          <w:rFonts w:ascii="Times New Roman" w:hAnsi="Times New Roman"/>
          <w:snapToGrid/>
          <w:sz w:val="22"/>
          <w:szCs w:val="22"/>
          <w:lang w:eastAsia="en-GB"/>
        </w:rPr>
        <w:t>c</w:t>
      </w:r>
      <w:r w:rsidRPr="009B545F">
        <w:rPr>
          <w:rFonts w:ascii="Times New Roman" w:hAnsi="Times New Roman"/>
          <w:snapToGrid/>
          <w:sz w:val="22"/>
          <w:szCs w:val="22"/>
          <w:lang w:eastAsia="en-GB"/>
        </w:rPr>
        <w:t>onditions, o</w:t>
      </w:r>
      <w:r w:rsidRPr="009B545F">
        <w:rPr>
          <w:rFonts w:ascii="Times New Roman" w:hAnsi="Times New Roman"/>
          <w:sz w:val="22"/>
          <w:szCs w:val="22"/>
        </w:rPr>
        <w:t>nce the deadline laid down in Article 2</w:t>
      </w:r>
      <w:r w:rsidR="00D83918" w:rsidRPr="009B545F">
        <w:rPr>
          <w:rFonts w:ascii="Times New Roman" w:hAnsi="Times New Roman"/>
          <w:sz w:val="22"/>
          <w:szCs w:val="22"/>
        </w:rPr>
        <w:t>6.3</w:t>
      </w:r>
      <w:r w:rsidRPr="009B545F">
        <w:rPr>
          <w:rFonts w:ascii="Times New Roman" w:hAnsi="Times New Roman"/>
          <w:sz w:val="22"/>
          <w:szCs w:val="22"/>
        </w:rPr>
        <w:t xml:space="preserve"> has expired, the </w:t>
      </w:r>
      <w:r w:rsidR="00F60098" w:rsidRPr="009B545F">
        <w:rPr>
          <w:rFonts w:ascii="Times New Roman" w:hAnsi="Times New Roman"/>
          <w:sz w:val="22"/>
          <w:szCs w:val="22"/>
        </w:rPr>
        <w:t>c</w:t>
      </w:r>
      <w:r w:rsidRPr="009B545F">
        <w:rPr>
          <w:rFonts w:ascii="Times New Roman" w:hAnsi="Times New Roman"/>
          <w:sz w:val="22"/>
          <w:szCs w:val="22"/>
        </w:rPr>
        <w:t xml:space="preserve">ontractor </w:t>
      </w:r>
      <w:r w:rsidR="00551543" w:rsidRPr="009B545F">
        <w:rPr>
          <w:rFonts w:ascii="Times New Roman" w:hAnsi="Times New Roman"/>
          <w:sz w:val="22"/>
          <w:szCs w:val="22"/>
        </w:rPr>
        <w:t>sha</w:t>
      </w:r>
      <w:r w:rsidR="006D3BA1" w:rsidRPr="009B545F">
        <w:rPr>
          <w:rFonts w:ascii="Times New Roman" w:hAnsi="Times New Roman"/>
          <w:sz w:val="22"/>
          <w:szCs w:val="22"/>
        </w:rPr>
        <w:t>ll,</w:t>
      </w:r>
      <w:r w:rsidRPr="009B545F">
        <w:rPr>
          <w:rFonts w:ascii="Times New Roman" w:hAnsi="Times New Roman"/>
          <w:sz w:val="22"/>
          <w:szCs w:val="22"/>
        </w:rPr>
        <w:t xml:space="preserve"> upon demand, </w:t>
      </w:r>
      <w:r w:rsidR="006D3BA1" w:rsidRPr="009B545F">
        <w:rPr>
          <w:rFonts w:ascii="Times New Roman" w:hAnsi="Times New Roman"/>
          <w:sz w:val="22"/>
          <w:szCs w:val="22"/>
        </w:rPr>
        <w:t xml:space="preserve">be entitled to late-payment interest </w:t>
      </w:r>
      <w:r w:rsidR="00117ADA" w:rsidRPr="009B545F">
        <w:rPr>
          <w:rFonts w:ascii="Times New Roman" w:hAnsi="Times New Roman"/>
          <w:sz w:val="22"/>
          <w:szCs w:val="22"/>
        </w:rPr>
        <w:t xml:space="preserve">at the rate and for the period mentioned in the </w:t>
      </w:r>
      <w:r w:rsidR="00F60098" w:rsidRPr="009B545F">
        <w:rPr>
          <w:rFonts w:ascii="Times New Roman" w:hAnsi="Times New Roman"/>
          <w:sz w:val="22"/>
          <w:szCs w:val="22"/>
        </w:rPr>
        <w:t>g</w:t>
      </w:r>
      <w:r w:rsidR="00117ADA" w:rsidRPr="009B545F">
        <w:rPr>
          <w:rFonts w:ascii="Times New Roman" w:hAnsi="Times New Roman"/>
          <w:sz w:val="22"/>
          <w:szCs w:val="22"/>
        </w:rPr>
        <w:t xml:space="preserve">eneral </w:t>
      </w:r>
      <w:r w:rsidR="00F60098" w:rsidRPr="009B545F">
        <w:rPr>
          <w:rFonts w:ascii="Times New Roman" w:hAnsi="Times New Roman"/>
          <w:sz w:val="22"/>
          <w:szCs w:val="22"/>
        </w:rPr>
        <w:t>c</w:t>
      </w:r>
      <w:r w:rsidR="00117ADA" w:rsidRPr="009B545F">
        <w:rPr>
          <w:rFonts w:ascii="Times New Roman" w:hAnsi="Times New Roman"/>
          <w:sz w:val="22"/>
          <w:szCs w:val="22"/>
        </w:rPr>
        <w:t>onditions</w:t>
      </w:r>
      <w:r w:rsidR="006D3BA1" w:rsidRPr="009B545F">
        <w:rPr>
          <w:rFonts w:ascii="Times New Roman" w:hAnsi="Times New Roman"/>
          <w:sz w:val="22"/>
          <w:szCs w:val="22"/>
        </w:rPr>
        <w:t xml:space="preserve">. The demand must be </w:t>
      </w:r>
      <w:r w:rsidRPr="009B545F">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02177B2D" w14:textId="77777777" w:rsidR="009B545F" w:rsidRPr="00765466" w:rsidRDefault="0047783A" w:rsidP="009B545F">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bookmarkStart w:id="18" w:name="_Toc124934914"/>
      <w:r w:rsidR="009B545F" w:rsidRPr="00B72C06">
        <w:rPr>
          <w:rFonts w:ascii="Times New Roman" w:hAnsi="Times New Roman"/>
          <w:sz w:val="22"/>
          <w:szCs w:val="22"/>
        </w:rPr>
        <w:t>The packaging shall become the property of the recipient subject to environmental considerations.</w:t>
      </w:r>
    </w:p>
    <w:p w14:paraId="59DD2458" w14:textId="77777777" w:rsidR="009B545F" w:rsidRDefault="009B545F" w:rsidP="009B545F">
      <w:pPr>
        <w:ind w:left="1134" w:hanging="1134"/>
        <w:jc w:val="both"/>
        <w:rPr>
          <w:rFonts w:ascii="Times New Roman" w:hAnsi="Times New Roman"/>
          <w:sz w:val="22"/>
          <w:szCs w:val="22"/>
          <w:lang w:val="en-US"/>
        </w:rPr>
      </w:pPr>
      <w:r>
        <w:rPr>
          <w:rFonts w:ascii="Times New Roman" w:hAnsi="Times New Roman"/>
          <w:sz w:val="22"/>
          <w:szCs w:val="22"/>
        </w:rPr>
        <w:t xml:space="preserve">     </w:t>
      </w:r>
      <w:r w:rsidRPr="003D6B6C">
        <w:rPr>
          <w:rFonts w:ascii="Times New Roman" w:hAnsi="Times New Roman"/>
          <w:sz w:val="22"/>
          <w:szCs w:val="22"/>
        </w:rPr>
        <w:t>29.5/6/7</w:t>
      </w:r>
      <w:r>
        <w:rPr>
          <w:rFonts w:ascii="Times New Roman" w:hAnsi="Times New Roman"/>
          <w:sz w:val="22"/>
          <w:szCs w:val="22"/>
        </w:rPr>
        <w:tab/>
      </w:r>
      <w:r>
        <w:rPr>
          <w:rFonts w:ascii="Times New Roman" w:hAnsi="Times New Roman"/>
          <w:sz w:val="22"/>
          <w:szCs w:val="22"/>
          <w:lang w:val="en-US"/>
        </w:rPr>
        <w:t>Delivery of equipment shall be accompanied by a note showing the contract reference number and the delivery address. The supply shall include all necessary documents as specified herein such as operating and maintenance manuals, drawings, material certificates, conformity certificates, test certificates, certificates of origin, planning, packing lists and others as necessary.</w:t>
      </w:r>
    </w:p>
    <w:p w14:paraId="13C82A40" w14:textId="77777777" w:rsidR="009B545F" w:rsidRDefault="009B545F" w:rsidP="009B545F">
      <w:pPr>
        <w:jc w:val="both"/>
        <w:rPr>
          <w:rFonts w:ascii="Times New Roman" w:hAnsi="Times New Roman"/>
          <w:b/>
          <w:sz w:val="24"/>
          <w:szCs w:val="24"/>
        </w:rPr>
      </w:pPr>
    </w:p>
    <w:p w14:paraId="7C1E7DCB" w14:textId="12B698FA" w:rsidR="0047783A" w:rsidRPr="003D6B6C" w:rsidRDefault="0047783A" w:rsidP="009B545F">
      <w:pPr>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7B60011" w14:textId="77777777" w:rsidR="009B545F" w:rsidRDefault="009B545F" w:rsidP="009B545F">
      <w:pPr>
        <w:jc w:val="both"/>
        <w:rPr>
          <w:rFonts w:ascii="Times New Roman" w:hAnsi="Times New Roman"/>
          <w:sz w:val="22"/>
          <w:szCs w:val="22"/>
        </w:rPr>
      </w:pPr>
      <w:r>
        <w:rPr>
          <w:rFonts w:ascii="Times New Roman" w:hAnsi="Times New Roman"/>
          <w:sz w:val="22"/>
          <w:szCs w:val="22"/>
        </w:rPr>
        <w:t xml:space="preserve">         </w:t>
      </w: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6C2D44E5" w14:textId="77777777" w:rsidR="009B545F" w:rsidRPr="00667E97" w:rsidRDefault="009B545F" w:rsidP="009B545F">
      <w:pPr>
        <w:ind w:left="1134" w:hanging="708"/>
        <w:jc w:val="both"/>
        <w:rPr>
          <w:rFonts w:ascii="Times New Roman" w:hAnsi="Times New Roman"/>
          <w:sz w:val="22"/>
          <w:szCs w:val="22"/>
        </w:rPr>
      </w:pPr>
      <w:r w:rsidRPr="00667E97">
        <w:rPr>
          <w:rFonts w:ascii="Times New Roman" w:hAnsi="Times New Roman"/>
          <w:sz w:val="22"/>
          <w:szCs w:val="22"/>
        </w:rPr>
        <w:t>31.2.</w:t>
      </w:r>
      <w:r w:rsidRPr="00667E97">
        <w:rPr>
          <w:rFonts w:ascii="Times New Roman" w:hAnsi="Times New Roman"/>
          <w:sz w:val="22"/>
          <w:szCs w:val="22"/>
        </w:rPr>
        <w:tab/>
        <w:t>By derogation, the contractor may apply, by notice to the project manager, for a certificate of provisional acceptance when supplies are ready for provisional acceptance. The project manager shall within 45 days of receipt of the contractor's application either:</w:t>
      </w:r>
    </w:p>
    <w:p w14:paraId="1FB8F24A" w14:textId="77777777" w:rsidR="009B545F" w:rsidRPr="00667E97" w:rsidRDefault="009B545F" w:rsidP="009B545F">
      <w:pPr>
        <w:widowControl w:val="0"/>
        <w:numPr>
          <w:ilvl w:val="0"/>
          <w:numId w:val="19"/>
        </w:numPr>
        <w:tabs>
          <w:tab w:val="left" w:pos="1560"/>
        </w:tabs>
        <w:spacing w:before="0" w:after="0"/>
        <w:ind w:left="1560"/>
        <w:jc w:val="both"/>
        <w:rPr>
          <w:rFonts w:ascii="Times New Roman" w:hAnsi="Times New Roman"/>
          <w:sz w:val="22"/>
          <w:szCs w:val="22"/>
        </w:rPr>
      </w:pPr>
      <w:r w:rsidRPr="00667E97">
        <w:rPr>
          <w:rFonts w:ascii="Times New Roman" w:hAnsi="Times New Roman"/>
          <w:sz w:val="22"/>
          <w:szCs w:val="22"/>
        </w:rPr>
        <w:t>issue the certificate of provisional acceptance to the contractor with a copy to the contracting authority stating, where appropriate, his reservations, and, inter alia, the date on which, in his opinion, the supplies were completed in accordance with the contract and ready for provisional acceptance; or</w:t>
      </w:r>
    </w:p>
    <w:p w14:paraId="1533C658" w14:textId="77777777" w:rsidR="009B545F" w:rsidRPr="00667E97" w:rsidRDefault="009B545F" w:rsidP="009B545F">
      <w:pPr>
        <w:widowControl w:val="0"/>
        <w:numPr>
          <w:ilvl w:val="0"/>
          <w:numId w:val="19"/>
        </w:numPr>
        <w:tabs>
          <w:tab w:val="left" w:pos="1560"/>
        </w:tabs>
        <w:ind w:left="1560"/>
        <w:jc w:val="both"/>
        <w:rPr>
          <w:rFonts w:ascii="Times New Roman" w:hAnsi="Times New Roman"/>
          <w:sz w:val="22"/>
          <w:szCs w:val="22"/>
        </w:rPr>
      </w:pPr>
      <w:r w:rsidRPr="00667E97">
        <w:rPr>
          <w:rFonts w:ascii="Times New Roman" w:hAnsi="Times New Roman"/>
          <w:sz w:val="22"/>
          <w:szCs w:val="22"/>
        </w:rPr>
        <w:t>reject the application, giving his reasons and specifying the action which, in his opinion, is required of the contractor for the certificate to be issued.</w:t>
      </w:r>
    </w:p>
    <w:p w14:paraId="7E4CE00D" w14:textId="77777777" w:rsidR="009B545F" w:rsidRPr="003D6B6C" w:rsidRDefault="009B545F" w:rsidP="009B545F">
      <w:pPr>
        <w:widowControl w:val="0"/>
        <w:tabs>
          <w:tab w:val="left" w:pos="1560"/>
        </w:tabs>
        <w:ind w:left="1200"/>
        <w:jc w:val="both"/>
        <w:rPr>
          <w:rFonts w:ascii="Times New Roman" w:hAnsi="Times New Roman"/>
          <w:sz w:val="22"/>
          <w:szCs w:val="22"/>
        </w:rPr>
      </w:pPr>
      <w:r w:rsidRPr="00667E97">
        <w:rPr>
          <w:rFonts w:ascii="Times New Roman" w:hAnsi="Times New Roman"/>
          <w:sz w:val="22"/>
          <w:szCs w:val="22"/>
        </w:rPr>
        <w:t>The contracting authority’s time limit for issuing the certificate of provisional acceptance to the contractor shall not be considered included in the time limit for payments indicated in Article 26.3.</w:t>
      </w:r>
      <w:r>
        <w:rPr>
          <w:rFonts w:ascii="Times New Roman" w:hAnsi="Times New Roman"/>
          <w:sz w:val="22"/>
          <w:szCs w:val="22"/>
        </w:rPr>
        <w:t xml:space="preserve"> </w:t>
      </w:r>
    </w:p>
    <w:p w14:paraId="0177D459" w14:textId="2D4D40A7" w:rsidR="00554164" w:rsidRPr="003D6B6C" w:rsidRDefault="00554164" w:rsidP="00D82847">
      <w:pPr>
        <w:autoSpaceDE w:val="0"/>
        <w:autoSpaceDN w:val="0"/>
        <w:adjustRightInd w:val="0"/>
        <w:spacing w:before="0" w:after="0"/>
        <w:ind w:left="1200"/>
        <w:rPr>
          <w:rFonts w:ascii="Times New Roman" w:hAnsi="Times New Roman"/>
          <w:sz w:val="22"/>
          <w:szCs w:val="22"/>
        </w:rPr>
      </w:pP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909ED51" w14:textId="77777777" w:rsidR="00B21E2F" w:rsidRPr="000837A3" w:rsidRDefault="00177A94" w:rsidP="00B21E2F">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bookmarkStart w:id="20" w:name="_Toc119839451"/>
      <w:bookmarkStart w:id="21" w:name="_Toc124934916"/>
      <w:r w:rsidR="00B21E2F" w:rsidRPr="000837A3">
        <w:rPr>
          <w:rFonts w:ascii="Times New Roman" w:hAnsi="Times New Roman"/>
          <w:sz w:val="22"/>
          <w:szCs w:val="22"/>
        </w:rPr>
        <w:t xml:space="preserve">All rights to warranty service </w:t>
      </w:r>
      <w:r w:rsidR="00B21E2F">
        <w:rPr>
          <w:rFonts w:ascii="Times New Roman" w:hAnsi="Times New Roman"/>
          <w:sz w:val="22"/>
          <w:szCs w:val="22"/>
        </w:rPr>
        <w:t xml:space="preserve">that are </w:t>
      </w:r>
      <w:r w:rsidR="00B21E2F" w:rsidRPr="000837A3">
        <w:rPr>
          <w:rFonts w:ascii="Times New Roman" w:hAnsi="Times New Roman"/>
          <w:sz w:val="22"/>
          <w:szCs w:val="22"/>
        </w:rPr>
        <w:t xml:space="preserve">provided for the relevant class of </w:t>
      </w:r>
      <w:r w:rsidR="00B21E2F">
        <w:rPr>
          <w:rFonts w:ascii="Times New Roman" w:hAnsi="Times New Roman"/>
          <w:sz w:val="22"/>
          <w:szCs w:val="22"/>
        </w:rPr>
        <w:t>vehicles</w:t>
      </w:r>
      <w:r w:rsidR="00B21E2F" w:rsidRPr="000837A3">
        <w:rPr>
          <w:rFonts w:ascii="Times New Roman" w:hAnsi="Times New Roman"/>
          <w:sz w:val="22"/>
          <w:szCs w:val="22"/>
        </w:rPr>
        <w:t xml:space="preserve"> </w:t>
      </w:r>
      <w:r w:rsidR="00B21E2F">
        <w:rPr>
          <w:rFonts w:ascii="Times New Roman" w:hAnsi="Times New Roman"/>
          <w:sz w:val="22"/>
          <w:szCs w:val="22"/>
        </w:rPr>
        <w:t xml:space="preserve">or equipment </w:t>
      </w:r>
      <w:r w:rsidR="00B21E2F" w:rsidRPr="000837A3">
        <w:rPr>
          <w:rFonts w:ascii="Times New Roman" w:hAnsi="Times New Roman"/>
          <w:sz w:val="22"/>
          <w:szCs w:val="22"/>
        </w:rPr>
        <w:t>by the manufacturer</w:t>
      </w:r>
      <w:r w:rsidR="00B21E2F">
        <w:rPr>
          <w:rFonts w:ascii="Times New Roman" w:hAnsi="Times New Roman"/>
          <w:sz w:val="22"/>
          <w:szCs w:val="22"/>
        </w:rPr>
        <w:t xml:space="preserve"> shall be guaranteed</w:t>
      </w:r>
      <w:r w:rsidR="00B21E2F" w:rsidRPr="000837A3">
        <w:rPr>
          <w:rFonts w:ascii="Times New Roman" w:hAnsi="Times New Roman"/>
          <w:sz w:val="22"/>
          <w:szCs w:val="22"/>
        </w:rPr>
        <w:t xml:space="preserve">. </w:t>
      </w:r>
    </w:p>
    <w:p w14:paraId="6CE230DD" w14:textId="7D1987F2" w:rsidR="00B21E2F" w:rsidRDefault="00B21E2F" w:rsidP="00B21E2F">
      <w:pPr>
        <w:ind w:left="1134" w:firstLine="36"/>
        <w:jc w:val="both"/>
        <w:rPr>
          <w:rFonts w:ascii="Times New Roman" w:hAnsi="Times New Roman"/>
          <w:sz w:val="22"/>
          <w:szCs w:val="22"/>
        </w:rPr>
      </w:pPr>
      <w:r w:rsidRPr="000837A3">
        <w:rPr>
          <w:rFonts w:ascii="Times New Roman" w:hAnsi="Times New Roman"/>
          <w:sz w:val="22"/>
          <w:szCs w:val="22"/>
        </w:rPr>
        <w:t xml:space="preserve">Full warranty for all manufacturing and factory defects, with no limitation on elapses, </w:t>
      </w:r>
      <w:r>
        <w:rPr>
          <w:rFonts w:ascii="Times New Roman" w:hAnsi="Times New Roman"/>
          <w:sz w:val="22"/>
          <w:szCs w:val="22"/>
        </w:rPr>
        <w:t xml:space="preserve">for </w:t>
      </w:r>
      <w:r w:rsidRPr="000837A3">
        <w:rPr>
          <w:rFonts w:ascii="Times New Roman" w:hAnsi="Times New Roman"/>
          <w:sz w:val="22"/>
          <w:szCs w:val="22"/>
        </w:rPr>
        <w:t xml:space="preserve">minimum </w:t>
      </w:r>
      <w:r>
        <w:rPr>
          <w:rFonts w:ascii="Times New Roman" w:hAnsi="Times New Roman"/>
          <w:sz w:val="22"/>
          <w:szCs w:val="22"/>
        </w:rPr>
        <w:t xml:space="preserve">48 </w:t>
      </w:r>
      <w:r w:rsidRPr="000837A3">
        <w:rPr>
          <w:rFonts w:ascii="Times New Roman" w:hAnsi="Times New Roman"/>
          <w:sz w:val="22"/>
          <w:szCs w:val="22"/>
        </w:rPr>
        <w:t>months</w:t>
      </w:r>
      <w:r>
        <w:rPr>
          <w:rFonts w:ascii="Times New Roman" w:hAnsi="Times New Roman"/>
          <w:sz w:val="22"/>
          <w:szCs w:val="22"/>
        </w:rPr>
        <w:t>.</w:t>
      </w:r>
    </w:p>
    <w:p w14:paraId="3C797277" w14:textId="7FCF800D" w:rsidR="00B21E2F" w:rsidRPr="003D6B6C" w:rsidRDefault="00B21E2F" w:rsidP="00B21E2F">
      <w:pPr>
        <w:ind w:left="1134" w:firstLine="36"/>
        <w:jc w:val="both"/>
        <w:rPr>
          <w:rFonts w:ascii="Times New Roman" w:hAnsi="Times New Roman"/>
          <w:sz w:val="22"/>
          <w:szCs w:val="22"/>
        </w:rPr>
      </w:pPr>
      <w:r w:rsidRPr="000837A3">
        <w:rPr>
          <w:rFonts w:ascii="Times New Roman" w:hAnsi="Times New Roman"/>
          <w:sz w:val="22"/>
          <w:szCs w:val="22"/>
        </w:rPr>
        <w:t xml:space="preserve">Warranty for painted body components and surface corrosion, with no mileage limitation, </w:t>
      </w:r>
      <w:r>
        <w:rPr>
          <w:rFonts w:ascii="Times New Roman" w:hAnsi="Times New Roman"/>
          <w:sz w:val="22"/>
          <w:szCs w:val="22"/>
        </w:rPr>
        <w:t xml:space="preserve">for </w:t>
      </w:r>
      <w:r w:rsidRPr="000837A3">
        <w:rPr>
          <w:rFonts w:ascii="Times New Roman" w:hAnsi="Times New Roman"/>
          <w:sz w:val="22"/>
          <w:szCs w:val="22"/>
        </w:rPr>
        <w:t xml:space="preserve">minimum </w:t>
      </w:r>
      <w:r>
        <w:rPr>
          <w:rFonts w:ascii="Times New Roman" w:hAnsi="Times New Roman"/>
          <w:sz w:val="22"/>
          <w:szCs w:val="22"/>
        </w:rPr>
        <w:t xml:space="preserve">48 </w:t>
      </w:r>
      <w:r w:rsidRPr="00E30406">
        <w:rPr>
          <w:rFonts w:ascii="Times New Roman" w:hAnsi="Times New Roman"/>
          <w:sz w:val="22"/>
          <w:szCs w:val="22"/>
        </w:rPr>
        <w:t>months.</w:t>
      </w:r>
    </w:p>
    <w:p w14:paraId="2AF6DA81" w14:textId="6EEBE090" w:rsidR="009B545F" w:rsidRPr="003D6B6C" w:rsidRDefault="009B545F" w:rsidP="009B545F">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B21E2F" w:rsidRPr="003D6B6C">
        <w:rPr>
          <w:rFonts w:ascii="Times New Roman" w:hAnsi="Times New Roman"/>
          <w:sz w:val="22"/>
          <w:szCs w:val="22"/>
        </w:rPr>
        <w:t xml:space="preserve">The warranty must remain valid for </w:t>
      </w:r>
      <w:r w:rsidR="00B21E2F">
        <w:rPr>
          <w:rFonts w:ascii="Times New Roman" w:hAnsi="Times New Roman"/>
          <w:sz w:val="22"/>
          <w:szCs w:val="22"/>
        </w:rPr>
        <w:t xml:space="preserve">a period of minimum </w:t>
      </w:r>
      <w:r w:rsidR="00B21E2F">
        <w:rPr>
          <w:rFonts w:ascii="Times New Roman" w:hAnsi="Times New Roman"/>
          <w:sz w:val="22"/>
          <w:szCs w:val="22"/>
        </w:rPr>
        <w:t>48</w:t>
      </w:r>
      <w:r w:rsidR="00B21E2F" w:rsidRPr="000837A3">
        <w:rPr>
          <w:rFonts w:ascii="Times New Roman" w:hAnsi="Times New Roman"/>
          <w:sz w:val="22"/>
          <w:szCs w:val="22"/>
        </w:rPr>
        <w:t xml:space="preserve"> </w:t>
      </w:r>
      <w:r w:rsidR="00B21E2F">
        <w:rPr>
          <w:rFonts w:ascii="Times New Roman" w:hAnsi="Times New Roman"/>
          <w:sz w:val="22"/>
          <w:szCs w:val="22"/>
        </w:rPr>
        <w:t xml:space="preserve">months </w:t>
      </w:r>
      <w:r w:rsidR="00B21E2F" w:rsidRPr="000837A3">
        <w:rPr>
          <w:rFonts w:ascii="Times New Roman" w:hAnsi="Times New Roman"/>
          <w:sz w:val="22"/>
          <w:szCs w:val="22"/>
        </w:rPr>
        <w:t xml:space="preserve">or until the vehicle has reached </w:t>
      </w:r>
      <w:r w:rsidR="00B21E2F">
        <w:rPr>
          <w:rFonts w:ascii="Times New Roman" w:hAnsi="Times New Roman"/>
          <w:sz w:val="22"/>
          <w:szCs w:val="22"/>
        </w:rPr>
        <w:t>1</w:t>
      </w:r>
      <w:r w:rsidR="00B21E2F" w:rsidRPr="000837A3">
        <w:rPr>
          <w:rFonts w:ascii="Times New Roman" w:hAnsi="Times New Roman"/>
          <w:sz w:val="22"/>
          <w:szCs w:val="22"/>
        </w:rPr>
        <w:t>00,000 kilometres (whichever is the earlier)</w:t>
      </w:r>
      <w:r w:rsidR="00B21E2F" w:rsidRPr="003D6B6C">
        <w:rPr>
          <w:rFonts w:ascii="Times New Roman" w:hAnsi="Times New Roman"/>
          <w:sz w:val="22"/>
          <w:szCs w:val="22"/>
        </w:rPr>
        <w:t xml:space="preserve"> after provisional acceptance.</w:t>
      </w:r>
    </w:p>
    <w:p w14:paraId="3499C21C" w14:textId="4D685A3D" w:rsidR="0047783A" w:rsidRPr="003D6B6C" w:rsidRDefault="0047783A" w:rsidP="009B545F">
      <w:pPr>
        <w:ind w:left="1134" w:hanging="708"/>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558C77DA" w14:textId="77777777" w:rsidR="009B545F" w:rsidRPr="00C20F05" w:rsidRDefault="00177A94" w:rsidP="009B545F">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B545F" w:rsidRPr="00C20F05">
        <w:rPr>
          <w:rFonts w:ascii="Times New Roman" w:hAnsi="Times New Roman"/>
          <w:sz w:val="22"/>
          <w:szCs w:val="22"/>
        </w:rPr>
        <w:t>Not applicable</w:t>
      </w:r>
    </w:p>
    <w:p w14:paraId="09B87FDF" w14:textId="5B3684AB" w:rsidR="0047783A" w:rsidRPr="003D6B6C" w:rsidRDefault="0047783A" w:rsidP="006B145B">
      <w:pPr>
        <w:ind w:left="1134" w:hanging="708"/>
        <w:jc w:val="both"/>
        <w:rPr>
          <w:rFonts w:ascii="Times New Roman" w:hAnsi="Times New Roman"/>
          <w:sz w:val="22"/>
          <w:szCs w:val="22"/>
        </w:rPr>
      </w:pP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0F81555E" w14:textId="4979466F" w:rsidR="0047783A" w:rsidRPr="003D6B6C" w:rsidRDefault="0047783A" w:rsidP="009B545F">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9B545F" w:rsidRPr="00C20F05">
        <w:rPr>
          <w:rFonts w:ascii="Times New Roman" w:hAnsi="Times New Roman"/>
          <w:sz w:val="22"/>
          <w:szCs w:val="22"/>
        </w:rPr>
        <w:t xml:space="preserve">Any disputes arising out of or relating to this contract which cannot be settled otherwise shall be referred to the exclusive jurisdiction of </w:t>
      </w:r>
      <w:r w:rsidR="009B545F">
        <w:rPr>
          <w:rFonts w:ascii="Times New Roman" w:hAnsi="Times New Roman"/>
          <w:sz w:val="22"/>
          <w:szCs w:val="22"/>
        </w:rPr>
        <w:t>the responsible court</w:t>
      </w:r>
      <w:r w:rsidR="009B545F" w:rsidRPr="00C20F05">
        <w:rPr>
          <w:rFonts w:ascii="Times New Roman" w:hAnsi="Times New Roman"/>
          <w:sz w:val="22"/>
          <w:szCs w:val="22"/>
        </w:rPr>
        <w:t xml:space="preserve"> in </w:t>
      </w:r>
      <w:r w:rsidR="009B545F" w:rsidRPr="00823E91">
        <w:rPr>
          <w:rFonts w:ascii="Times New Roman" w:hAnsi="Times New Roman"/>
          <w:sz w:val="22"/>
          <w:szCs w:val="22"/>
        </w:rPr>
        <w:t xml:space="preserve">accordance with the national legislation of the state of the contracting authority. </w:t>
      </w:r>
    </w:p>
    <w:p w14:paraId="32FDF6D7" w14:textId="77777777" w:rsidR="00407C90" w:rsidRPr="009B545F" w:rsidRDefault="00407C90" w:rsidP="00407C90">
      <w:pPr>
        <w:ind w:left="567" w:hanging="567"/>
        <w:rPr>
          <w:rFonts w:ascii="Times New Roman" w:hAnsi="Times New Roman"/>
          <w:sz w:val="22"/>
          <w:szCs w:val="22"/>
        </w:rPr>
      </w:pPr>
    </w:p>
    <w:p w14:paraId="53F35545" w14:textId="77777777" w:rsidR="00407C90" w:rsidRPr="009B545F" w:rsidRDefault="00407C90" w:rsidP="00407C90">
      <w:pPr>
        <w:keepNext/>
        <w:keepLines/>
        <w:tabs>
          <w:tab w:val="left" w:pos="1134"/>
        </w:tabs>
        <w:spacing w:before="240"/>
        <w:ind w:left="1134" w:hanging="1134"/>
        <w:rPr>
          <w:rFonts w:ascii="Times New Roman" w:hAnsi="Times New Roman"/>
          <w:b/>
          <w:sz w:val="24"/>
          <w:szCs w:val="24"/>
        </w:rPr>
      </w:pPr>
      <w:r w:rsidRPr="009B545F">
        <w:rPr>
          <w:rFonts w:ascii="Times New Roman" w:hAnsi="Times New Roman"/>
          <w:b/>
          <w:sz w:val="24"/>
          <w:szCs w:val="24"/>
        </w:rPr>
        <w:t>Article 44</w:t>
      </w:r>
      <w:r w:rsidRPr="009B545F">
        <w:rPr>
          <w:rFonts w:ascii="Times New Roman" w:hAnsi="Times New Roman"/>
          <w:b/>
          <w:sz w:val="24"/>
          <w:szCs w:val="24"/>
        </w:rPr>
        <w:tab/>
        <w:t xml:space="preserve">Data </w:t>
      </w:r>
      <w:r w:rsidR="00686E07" w:rsidRPr="009B545F">
        <w:rPr>
          <w:rFonts w:ascii="Times New Roman" w:hAnsi="Times New Roman"/>
          <w:b/>
          <w:sz w:val="24"/>
          <w:szCs w:val="24"/>
        </w:rPr>
        <w:t>p</w:t>
      </w:r>
      <w:r w:rsidRPr="009B545F">
        <w:rPr>
          <w:rFonts w:ascii="Times New Roman" w:hAnsi="Times New Roman"/>
          <w:b/>
          <w:sz w:val="24"/>
          <w:szCs w:val="24"/>
        </w:rPr>
        <w:t>rotection</w:t>
      </w:r>
    </w:p>
    <w:p w14:paraId="5F3FDACE" w14:textId="5D5B87C9" w:rsidR="009F7E6A" w:rsidRPr="009B545F" w:rsidRDefault="009F7E6A" w:rsidP="009F7E6A">
      <w:pPr>
        <w:jc w:val="both"/>
        <w:rPr>
          <w:rFonts w:ascii="Times New Roman" w:hAnsi="Times New Roman"/>
          <w:sz w:val="22"/>
          <w:szCs w:val="22"/>
        </w:rPr>
      </w:pPr>
      <w:r w:rsidRPr="009B545F">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12"/>
      <w:footerReference w:type="even" r:id="rId13"/>
      <w:footerReference w:type="defaul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C3D728" w14:textId="77777777" w:rsidR="00F41AE5" w:rsidRPr="006A5F84" w:rsidRDefault="00F41AE5">
      <w:r w:rsidRPr="006A5F84">
        <w:separator/>
      </w:r>
    </w:p>
  </w:endnote>
  <w:endnote w:type="continuationSeparator" w:id="0">
    <w:p w14:paraId="25BE046E" w14:textId="77777777" w:rsidR="00F41AE5" w:rsidRPr="006A5F84" w:rsidRDefault="00F41AE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auto"/>
    <w:pitch w:val="variable"/>
    <w:sig w:usb0="E0002AFF" w:usb1="C0007841" w:usb2="00000009" w:usb3="00000000" w:csb0="000001FF" w:csb1="00000000"/>
  </w:font>
  <w:font w:name="Optima">
    <w:altName w:val="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D2995" w14:textId="40AF42F2" w:rsidR="007E36E3" w:rsidRPr="00FE689C" w:rsidRDefault="00FE7134"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9B545F">
      <w:rPr>
        <w:rStyle w:val="SayfaNumaras"/>
        <w:rFonts w:ascii="Times New Roman" w:hAnsi="Times New Roman"/>
        <w:noProof/>
        <w:sz w:val="18"/>
        <w:szCs w:val="18"/>
        <w:lang w:val="en-GB"/>
      </w:rPr>
      <w:t>6</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9B545F">
      <w:rPr>
        <w:rStyle w:val="SayfaNumaras"/>
        <w:rFonts w:ascii="Times New Roman" w:hAnsi="Times New Roman"/>
        <w:noProof/>
        <w:sz w:val="18"/>
        <w:szCs w:val="18"/>
        <w:lang w:val="en-GB"/>
      </w:rPr>
      <w:t>6</w:t>
    </w:r>
    <w:r w:rsidR="007E36E3" w:rsidRPr="009423FB">
      <w:rPr>
        <w:rStyle w:val="SayfaNumaras"/>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CA3ED" w14:textId="77777777" w:rsidR="00F41AE5" w:rsidRPr="006A5F84" w:rsidRDefault="00F41AE5">
      <w:r w:rsidRPr="006A5F84">
        <w:separator/>
      </w:r>
    </w:p>
  </w:footnote>
  <w:footnote w:type="continuationSeparator" w:id="0">
    <w:p w14:paraId="7E9C84CE" w14:textId="77777777" w:rsidR="00F41AE5" w:rsidRPr="006A5F84" w:rsidRDefault="00F41AE5">
      <w:r w:rsidRPr="006A5F84">
        <w:continuationSeparator/>
      </w:r>
    </w:p>
  </w:footnote>
  <w:footnote w:id="1">
    <w:p w14:paraId="76E82C30" w14:textId="77777777" w:rsidR="00B16F46" w:rsidRDefault="00B16F46" w:rsidP="00B16F46">
      <w:pPr>
        <w:pStyle w:val="DipnotMetni"/>
        <w:rPr>
          <w:lang w:val="en-GB"/>
        </w:rPr>
      </w:pPr>
      <w:r>
        <w:rPr>
          <w:rStyle w:val="DipnotBavurusu"/>
        </w:rPr>
        <w:footnoteRef/>
      </w:r>
      <w:r>
        <w:rPr>
          <w:lang w:val="en-GB"/>
        </w:rPr>
        <w:t xml:space="preserve"> See </w:t>
      </w:r>
      <w:hyperlink r:id="rId1" w:history="1">
        <w:r>
          <w:rPr>
            <w:rStyle w:val="Kpr"/>
            <w:lang w:val="en-GB"/>
          </w:rPr>
          <w:t>http://www.iccwbo.org/products-and-services/trade-facilitation/incoterms-2010/the-incoterms-rules/</w:t>
        </w:r>
      </w:hyperlink>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927BD5" w:rsidRPr="008B1ADB" w14:paraId="124E341E" w14:textId="77777777" w:rsidTr="000474DB">
      <w:trPr>
        <w:jc w:val="center"/>
      </w:trPr>
      <w:tc>
        <w:tcPr>
          <w:tcW w:w="3638" w:type="dxa"/>
          <w:shd w:val="clear" w:color="auto" w:fill="auto"/>
        </w:tcPr>
        <w:p w14:paraId="5231F997" w14:textId="77777777" w:rsidR="00927BD5" w:rsidRPr="008B1ADB" w:rsidRDefault="00F41AE5" w:rsidP="000474DB">
          <w:pPr>
            <w:rPr>
              <w:rFonts w:ascii="Calibri" w:hAnsi="Calibri"/>
            </w:rPr>
          </w:pPr>
          <w:r w:rsidRPr="00F41AE5">
            <w:rPr>
              <w:rFonts w:ascii="Calibri" w:hAnsi="Calibri"/>
              <w:noProof/>
              <w:snapToGrid/>
            </w:rPr>
            <w:pict w14:anchorId="104C15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Description: Description: C:\Users\UTS\Desktop\Interreg BG TR Logo 3 lines.jpg" style="width:139.35pt;height:43.35pt;visibility:visible;mso-wrap-style:square;mso-width-percent:0;mso-height-percent:0;mso-width-percent:0;mso-height-percent:0">
                <v:imagedata r:id="rId1" o:title="Interreg BG TR Logo 3 lines"/>
              </v:shape>
            </w:pict>
          </w:r>
        </w:p>
      </w:tc>
      <w:tc>
        <w:tcPr>
          <w:tcW w:w="3632" w:type="dxa"/>
          <w:vAlign w:val="center"/>
        </w:tcPr>
        <w:p w14:paraId="6240EC9F" w14:textId="77777777" w:rsidR="00927BD5" w:rsidRPr="00272BD0" w:rsidRDefault="00927BD5" w:rsidP="000474DB">
          <w:pPr>
            <w:jc w:val="center"/>
            <w:rPr>
              <w:i/>
              <w:noProof/>
            </w:rPr>
          </w:pPr>
        </w:p>
      </w:tc>
      <w:tc>
        <w:tcPr>
          <w:tcW w:w="2551" w:type="dxa"/>
          <w:vAlign w:val="bottom"/>
        </w:tcPr>
        <w:p w14:paraId="6FC276A3" w14:textId="77777777" w:rsidR="00927BD5" w:rsidRPr="008B1ADB" w:rsidRDefault="00927BD5" w:rsidP="000474DB">
          <w:pPr>
            <w:jc w:val="right"/>
            <w:rPr>
              <w:rFonts w:ascii="Calibri" w:hAnsi="Calibri" w:cs="Arial"/>
              <w:color w:val="7030A0"/>
            </w:rPr>
          </w:pPr>
          <w:r>
            <w:rPr>
              <w:rFonts w:ascii="Calibri" w:hAnsi="Calibri"/>
              <w:noProof/>
            </w:rPr>
            <w:t xml:space="preserve">   </w:t>
          </w:r>
          <w:r w:rsidR="00F41AE5" w:rsidRPr="00F41AE5">
            <w:rPr>
              <w:rFonts w:ascii="Calibri" w:hAnsi="Calibri"/>
              <w:noProof/>
              <w:snapToGrid/>
            </w:rPr>
            <w:pict w14:anchorId="51D4223A">
              <v:shape id="Picture 2" o:spid="_x0000_i1025" type="#_x0000_t75" alt="" style="width:54pt;height:46pt;visibility:visible;mso-wrap-style:square;mso-width-percent:0;mso-height-percent:0;mso-width-percent:0;mso-height-percent:0">
                <v:imagedata r:id="rId2" o:title=""/>
              </v:shape>
            </w:pict>
          </w:r>
        </w:p>
      </w:tc>
    </w:tr>
  </w:tbl>
  <w:p w14:paraId="5063B071" w14:textId="67461EE3" w:rsidR="00927BD5" w:rsidRPr="00927BD5" w:rsidRDefault="00927BD5" w:rsidP="00927BD5">
    <w:pPr>
      <w:tabs>
        <w:tab w:val="center" w:pos="4536"/>
        <w:tab w:val="right" w:pos="9072"/>
      </w:tabs>
      <w:jc w:val="center"/>
      <w:rPr>
        <w:b/>
        <w:i/>
        <w:iCs/>
      </w:rPr>
    </w:pPr>
    <w:r w:rsidRPr="00B94C9A">
      <w:rPr>
        <w:b/>
        <w:i/>
        <w:iCs/>
      </w:rPr>
      <w:t>CB005.2.12.88 “</w:t>
    </w:r>
    <w:r w:rsidRPr="00B94C9A">
      <w:rPr>
        <w:b/>
        <w:i/>
        <w:color w:val="000000"/>
      </w:rPr>
      <w:t>Joint cross-border initiatives for reduction of marine litter in Aegean and Black Sea (Seas without waste)</w:t>
    </w:r>
    <w:r w:rsidRPr="00B94C9A">
      <w:rPr>
        <w:color w:val="00000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6ED22DA"/>
    <w:multiLevelType w:val="hybridMultilevel"/>
    <w:tmpl w:val="6130D446"/>
    <w:lvl w:ilvl="0" w:tplc="08090001">
      <w:start w:val="1"/>
      <w:numFmt w:val="bullet"/>
      <w:lvlText w:val=""/>
      <w:lvlJc w:val="left"/>
      <w:pPr>
        <w:ind w:left="873" w:hanging="360"/>
      </w:pPr>
      <w:rPr>
        <w:rFonts w:ascii="Symbol" w:hAnsi="Symbol" w:hint="default"/>
      </w:rPr>
    </w:lvl>
    <w:lvl w:ilvl="1" w:tplc="08090003">
      <w:start w:val="1"/>
      <w:numFmt w:val="bullet"/>
      <w:lvlText w:val="o"/>
      <w:lvlJc w:val="left"/>
      <w:pPr>
        <w:ind w:left="1593" w:hanging="360"/>
      </w:pPr>
      <w:rPr>
        <w:rFonts w:ascii="Courier New" w:hAnsi="Courier New" w:cs="Courier New" w:hint="default"/>
      </w:rPr>
    </w:lvl>
    <w:lvl w:ilvl="2" w:tplc="08090005">
      <w:start w:val="1"/>
      <w:numFmt w:val="bullet"/>
      <w:lvlText w:val=""/>
      <w:lvlJc w:val="left"/>
      <w:pPr>
        <w:ind w:left="2313" w:hanging="360"/>
      </w:pPr>
      <w:rPr>
        <w:rFonts w:ascii="Wingdings" w:hAnsi="Wingdings" w:hint="default"/>
      </w:rPr>
    </w:lvl>
    <w:lvl w:ilvl="3" w:tplc="08090001">
      <w:start w:val="1"/>
      <w:numFmt w:val="bullet"/>
      <w:lvlText w:val=""/>
      <w:lvlJc w:val="left"/>
      <w:pPr>
        <w:ind w:left="3033" w:hanging="360"/>
      </w:pPr>
      <w:rPr>
        <w:rFonts w:ascii="Symbol" w:hAnsi="Symbol" w:hint="default"/>
      </w:rPr>
    </w:lvl>
    <w:lvl w:ilvl="4" w:tplc="08090003">
      <w:start w:val="1"/>
      <w:numFmt w:val="bullet"/>
      <w:lvlText w:val="o"/>
      <w:lvlJc w:val="left"/>
      <w:pPr>
        <w:ind w:left="3753" w:hanging="360"/>
      </w:pPr>
      <w:rPr>
        <w:rFonts w:ascii="Courier New" w:hAnsi="Courier New" w:cs="Courier New" w:hint="default"/>
      </w:rPr>
    </w:lvl>
    <w:lvl w:ilvl="5" w:tplc="08090005">
      <w:start w:val="1"/>
      <w:numFmt w:val="bullet"/>
      <w:lvlText w:val=""/>
      <w:lvlJc w:val="left"/>
      <w:pPr>
        <w:ind w:left="4473" w:hanging="360"/>
      </w:pPr>
      <w:rPr>
        <w:rFonts w:ascii="Wingdings" w:hAnsi="Wingdings" w:hint="default"/>
      </w:rPr>
    </w:lvl>
    <w:lvl w:ilvl="6" w:tplc="08090001">
      <w:start w:val="1"/>
      <w:numFmt w:val="bullet"/>
      <w:lvlText w:val=""/>
      <w:lvlJc w:val="left"/>
      <w:pPr>
        <w:ind w:left="5193" w:hanging="360"/>
      </w:pPr>
      <w:rPr>
        <w:rFonts w:ascii="Symbol" w:hAnsi="Symbol" w:hint="default"/>
      </w:rPr>
    </w:lvl>
    <w:lvl w:ilvl="7" w:tplc="08090003">
      <w:start w:val="1"/>
      <w:numFmt w:val="bullet"/>
      <w:lvlText w:val="o"/>
      <w:lvlJc w:val="left"/>
      <w:pPr>
        <w:ind w:left="5913" w:hanging="360"/>
      </w:pPr>
      <w:rPr>
        <w:rFonts w:ascii="Courier New" w:hAnsi="Courier New" w:cs="Courier New" w:hint="default"/>
      </w:rPr>
    </w:lvl>
    <w:lvl w:ilvl="8" w:tplc="08090005">
      <w:start w:val="1"/>
      <w:numFmt w:val="bullet"/>
      <w:lvlText w:val=""/>
      <w:lvlJc w:val="left"/>
      <w:pPr>
        <w:ind w:left="6633"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66CA"/>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052"/>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27BD5"/>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45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6F46"/>
    <w:rsid w:val="00B17A53"/>
    <w:rsid w:val="00B207DB"/>
    <w:rsid w:val="00B21E2F"/>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4300"/>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1AE5"/>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978073"/>
  <w15:docId w15:val="{6F7A850E-1E2A-E04E-837E-A84EAC7F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qFormat/>
    <w:rsid w:val="001020D9"/>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semiHidden/>
    <w:rsid w:val="00EE23B1"/>
    <w:rPr>
      <w:sz w:val="16"/>
      <w:szCs w:val="16"/>
    </w:rPr>
  </w:style>
  <w:style w:type="paragraph" w:styleId="AklamaMetni">
    <w:name w:val="annotation text"/>
    <w:basedOn w:val="Normal"/>
    <w:link w:val="AklamaMetniChar"/>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DipnotMetniChar">
    <w:name w:val="Dipnot Metni Char"/>
    <w:aliases w:val="Schriftart: 9 pt Char1,Schriftart: 10 pt Char1,Schriftart: 8 pt Char1,WB-Fußnotentext Char1,FoodNote Char1,ft Char1,Footnote Char1,Footnote Text Char Char Char1,Footnote Text Char1 Char Char Char1,fn Char1,f Char"/>
    <w:link w:val="DipnotMetni"/>
    <w:locked/>
    <w:rsid w:val="00B16F46"/>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ib.gov.tr/sites/default/files/uluslararasi_mevzuat/1_SIRA_NOLU_IPAII_GENEL_TEBLIGI_TR.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acbc-bgtr.e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ec.europa.eu/europeaid/funding/communication-and-visibility-manual-eu-external-actions_en" TargetMode="External"/><Relationship Id="rId4" Type="http://schemas.openxmlformats.org/officeDocument/2006/relationships/settings" Target="settings.xml"/><Relationship Id="rId9" Type="http://schemas.openxmlformats.org/officeDocument/2006/relationships/hyperlink" Target="http://mevzuat.basbakanlik.gov.tr/Metin.Aspx?MevzuatKod=9.5.14369&amp;Mevzuatiliski=0&amp;sourceXmlSearch=T&#252;rkiye-%20AB%20Kat&#305;l&#305;m%20&#214;ncesi%20Yard&#305;m%20Arac&#305;,%20published%20in%20the%20Official%20Gazette%20of%20Turkey,%20No:27730,%20on%2015.10.2010.%20"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D7E5A-9590-904E-AFBB-235C87084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6</Pages>
  <Words>1823</Words>
  <Characters>10395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12194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43</cp:revision>
  <cp:lastPrinted>2014-02-11T14:32:00Z</cp:lastPrinted>
  <dcterms:created xsi:type="dcterms:W3CDTF">2018-12-18T11:40:00Z</dcterms:created>
  <dcterms:modified xsi:type="dcterms:W3CDTF">2021-03-18T10:46:00Z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