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53186751" w:rsidR="006F5FD0" w:rsidRPr="00B33EE6" w:rsidRDefault="006F5FD0">
      <w:pPr>
        <w:jc w:val="center"/>
        <w:rPr>
          <w:rStyle w:val="Gl"/>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1E3CC1C3" w14:textId="707BEC9D" w:rsidR="00571687" w:rsidRPr="000C66C3" w:rsidRDefault="000C66C3" w:rsidP="000C66C3">
      <w:pPr>
        <w:spacing w:after="240"/>
        <w:jc w:val="center"/>
        <w:rPr>
          <w:rStyle w:val="Gl"/>
          <w:b w:val="0"/>
          <w:sz w:val="28"/>
          <w:szCs w:val="28"/>
          <w:lang w:val="en-GB"/>
        </w:rPr>
      </w:pPr>
      <w:r w:rsidRPr="00D13B0D">
        <w:rPr>
          <w:rStyle w:val="Gl"/>
          <w:sz w:val="28"/>
          <w:szCs w:val="28"/>
          <w:lang w:val="en-GB"/>
        </w:rPr>
        <w:t xml:space="preserve">Contract title: </w:t>
      </w:r>
      <w:r>
        <w:rPr>
          <w:rStyle w:val="Gl"/>
          <w:sz w:val="28"/>
          <w:szCs w:val="28"/>
          <w:lang w:val="en-GB"/>
        </w:rPr>
        <w:t>Supply of Bicycles</w:t>
      </w:r>
      <w:r w:rsidRPr="00571687">
        <w:rPr>
          <w:rStyle w:val="Gl"/>
          <w:sz w:val="28"/>
          <w:szCs w:val="28"/>
          <w:lang w:val="en-GB"/>
        </w:rPr>
        <w:br/>
      </w:r>
      <w:r w:rsidRPr="00E40323">
        <w:rPr>
          <w:rStyle w:val="Gl"/>
          <w:sz w:val="28"/>
          <w:szCs w:val="28"/>
          <w:lang w:val="en-GB"/>
        </w:rPr>
        <w:t>Location</w:t>
      </w:r>
      <w:r>
        <w:rPr>
          <w:rStyle w:val="Gl"/>
          <w:sz w:val="28"/>
          <w:szCs w:val="28"/>
          <w:lang w:val="en-GB"/>
        </w:rPr>
        <w:t>: Kirklareli, Turkey</w:t>
      </w:r>
    </w:p>
    <w:p w14:paraId="1BE20B1E" w14:textId="77777777" w:rsidR="006F5FD0" w:rsidRPr="00B33EE6" w:rsidRDefault="007727F3" w:rsidP="00584BF4">
      <w:pPr>
        <w:ind w:left="709" w:hanging="349"/>
        <w:outlineLvl w:val="0"/>
        <w:rPr>
          <w:sz w:val="22"/>
          <w:szCs w:val="22"/>
          <w:lang w:val="en-GB"/>
        </w:rPr>
      </w:pPr>
      <w:r w:rsidRPr="00B33EE6">
        <w:rPr>
          <w:rStyle w:val="Gl"/>
          <w:sz w:val="22"/>
          <w:szCs w:val="22"/>
          <w:lang w:val="en-GB"/>
        </w:rPr>
        <w:t>1.</w:t>
      </w:r>
      <w:r w:rsidR="00584BF4" w:rsidRPr="00B33EE6">
        <w:rPr>
          <w:rStyle w:val="Gl"/>
          <w:sz w:val="22"/>
          <w:szCs w:val="22"/>
          <w:lang w:val="en-GB"/>
        </w:rPr>
        <w:tab/>
      </w:r>
      <w:r w:rsidR="00632BDC" w:rsidRPr="00B33EE6">
        <w:rPr>
          <w:rStyle w:val="Gl"/>
          <w:sz w:val="22"/>
          <w:szCs w:val="22"/>
          <w:lang w:val="en-GB"/>
        </w:rPr>
        <w:t>R</w:t>
      </w:r>
      <w:r w:rsidR="006F5FD0" w:rsidRPr="00B33EE6">
        <w:rPr>
          <w:rStyle w:val="Gl"/>
          <w:sz w:val="22"/>
          <w:szCs w:val="22"/>
          <w:lang w:val="en-GB"/>
        </w:rPr>
        <w:t>eference</w:t>
      </w:r>
    </w:p>
    <w:p w14:paraId="49D136FE" w14:textId="64D64F4F" w:rsidR="006F5FD0" w:rsidRPr="000C66C3" w:rsidRDefault="000C66C3">
      <w:pPr>
        <w:pStyle w:val="Blockquote"/>
        <w:rPr>
          <w:i/>
          <w:sz w:val="22"/>
          <w:szCs w:val="22"/>
          <w:lang w:val="en-GB"/>
        </w:rPr>
      </w:pPr>
      <w:r w:rsidRPr="000C66C3">
        <w:rPr>
          <w:sz w:val="22"/>
          <w:szCs w:val="22"/>
        </w:rPr>
        <w:t>CB005.2.21.080-LP- Supply-02</w:t>
      </w:r>
    </w:p>
    <w:p w14:paraId="7A3797D8" w14:textId="77777777" w:rsidR="006F5FD0" w:rsidRPr="00B33EE6" w:rsidRDefault="007727F3" w:rsidP="00584BF4">
      <w:pPr>
        <w:ind w:left="709" w:hanging="349"/>
        <w:outlineLvl w:val="0"/>
        <w:rPr>
          <w:sz w:val="22"/>
          <w:szCs w:val="22"/>
          <w:lang w:val="en-GB"/>
        </w:rPr>
      </w:pPr>
      <w:r w:rsidRPr="00B33EE6">
        <w:rPr>
          <w:rStyle w:val="Gl"/>
          <w:sz w:val="22"/>
          <w:szCs w:val="22"/>
          <w:lang w:val="en-GB"/>
        </w:rPr>
        <w:t>2.</w:t>
      </w:r>
      <w:r w:rsidR="00584BF4" w:rsidRPr="00B33EE6">
        <w:rPr>
          <w:rStyle w:val="Gl"/>
          <w:sz w:val="22"/>
          <w:szCs w:val="22"/>
          <w:lang w:val="en-GB"/>
        </w:rPr>
        <w:tab/>
      </w:r>
      <w:r w:rsidR="006F5FD0" w:rsidRPr="00B33EE6">
        <w:rPr>
          <w:rStyle w:val="Gl"/>
          <w:sz w:val="22"/>
          <w:szCs w:val="22"/>
          <w:lang w:val="en-GB"/>
        </w:rPr>
        <w:t>Procedure</w:t>
      </w:r>
    </w:p>
    <w:p w14:paraId="41C9370C" w14:textId="43AF8F11" w:rsidR="006F5FD0" w:rsidRPr="00B33EE6" w:rsidRDefault="00AD1E4D" w:rsidP="00C867B9">
      <w:pPr>
        <w:pStyle w:val="Blockquote"/>
        <w:ind w:left="0"/>
        <w:jc w:val="both"/>
        <w:rPr>
          <w:sz w:val="22"/>
          <w:szCs w:val="22"/>
          <w:lang w:val="en-GB"/>
        </w:rPr>
      </w:pPr>
      <w:r w:rsidRPr="000C66C3">
        <w:rPr>
          <w:sz w:val="22"/>
          <w:szCs w:val="22"/>
          <w:lang w:val="en-GB"/>
        </w:rPr>
        <w:t xml:space="preserve">   </w:t>
      </w:r>
      <w:r w:rsidR="000C66C3" w:rsidRPr="000C66C3">
        <w:rPr>
          <w:sz w:val="22"/>
          <w:szCs w:val="22"/>
          <w:lang w:val="en-GB"/>
        </w:rPr>
        <w:t xml:space="preserve">        </w:t>
      </w:r>
      <w:r w:rsidRPr="000C66C3">
        <w:rPr>
          <w:sz w:val="22"/>
          <w:szCs w:val="22"/>
          <w:lang w:val="en-GB"/>
        </w:rPr>
        <w:t>Simplifie</w:t>
      </w:r>
      <w:r w:rsidR="000C66C3" w:rsidRPr="000C66C3">
        <w:rPr>
          <w:sz w:val="22"/>
          <w:szCs w:val="22"/>
          <w:lang w:val="en-GB"/>
        </w:rPr>
        <w:t>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Gl"/>
          <w:sz w:val="22"/>
          <w:szCs w:val="22"/>
          <w:lang w:val="en-GB"/>
        </w:rPr>
        <w:t xml:space="preserve">3. </w:t>
      </w:r>
      <w:r w:rsidR="00584BF4" w:rsidRPr="00B33EE6">
        <w:rPr>
          <w:rStyle w:val="Gl"/>
          <w:sz w:val="22"/>
          <w:szCs w:val="22"/>
          <w:lang w:val="en-GB"/>
        </w:rPr>
        <w:tab/>
      </w:r>
      <w:r w:rsidRPr="00B33EE6">
        <w:rPr>
          <w:rStyle w:val="Gl"/>
          <w:sz w:val="22"/>
          <w:szCs w:val="22"/>
          <w:lang w:val="en-GB"/>
        </w:rPr>
        <w:t>Programme</w:t>
      </w:r>
      <w:r w:rsidR="00971962" w:rsidRPr="00B33EE6">
        <w:rPr>
          <w:rStyle w:val="Gl"/>
          <w:sz w:val="22"/>
          <w:szCs w:val="22"/>
          <w:lang w:val="en-GB"/>
        </w:rPr>
        <w:t xml:space="preserve"> title</w:t>
      </w:r>
    </w:p>
    <w:p w14:paraId="5C1A56BF" w14:textId="267188BC" w:rsidR="00971962" w:rsidRPr="000C66C3" w:rsidRDefault="000C66C3" w:rsidP="000C66C3">
      <w:pPr>
        <w:pStyle w:val="PRAGHeading2"/>
        <w:numPr>
          <w:ilvl w:val="0"/>
          <w:numId w:val="0"/>
        </w:numPr>
        <w:ind w:left="426"/>
        <w:rPr>
          <w:i/>
          <w:iCs/>
        </w:rPr>
      </w:pPr>
      <w:r w:rsidRPr="000C66C3">
        <w:rPr>
          <w:rStyle w:val="Vurgu"/>
          <w:i w:val="0"/>
          <w:iCs/>
          <w:sz w:val="22"/>
          <w:szCs w:val="22"/>
          <w:lang w:val="en-GB"/>
        </w:rPr>
        <w:t>Second Call for proposals under the Interreg-IPA CBC Bulgaria-Turkey Programme 2014-2020, CCI No 2014TC16I5CB005</w:t>
      </w:r>
    </w:p>
    <w:p w14:paraId="797EC4DC"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4. </w:t>
      </w:r>
      <w:r w:rsidR="00584BF4" w:rsidRPr="00B33EE6">
        <w:rPr>
          <w:rStyle w:val="Gl"/>
          <w:sz w:val="22"/>
          <w:szCs w:val="22"/>
          <w:lang w:val="en-GB"/>
        </w:rPr>
        <w:tab/>
      </w:r>
      <w:r w:rsidRPr="00B33EE6">
        <w:rPr>
          <w:rStyle w:val="Gl"/>
          <w:sz w:val="22"/>
          <w:szCs w:val="22"/>
          <w:lang w:val="en-GB"/>
        </w:rPr>
        <w:t>Financing</w:t>
      </w:r>
    </w:p>
    <w:p w14:paraId="0F532635" w14:textId="415694A4" w:rsidR="00502217" w:rsidRPr="000C66C3" w:rsidRDefault="000C66C3" w:rsidP="000C66C3">
      <w:pPr>
        <w:pStyle w:val="PRAGHeading2"/>
        <w:numPr>
          <w:ilvl w:val="0"/>
          <w:numId w:val="0"/>
        </w:numPr>
        <w:ind w:left="426"/>
        <w:rPr>
          <w:sz w:val="22"/>
          <w:szCs w:val="22"/>
        </w:rPr>
      </w:pPr>
      <w:r w:rsidRPr="00E40323">
        <w:rPr>
          <w:sz w:val="22"/>
          <w:szCs w:val="22"/>
        </w:rPr>
        <w:t>The projects are co-funded by the European Union, through financing agreement under the Interreg-IPA CBC Bulgaria-Turkey Programme 2014-2020, CCI No 2014TC16I5CB005.</w:t>
      </w:r>
    </w:p>
    <w:p w14:paraId="03ED8384"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5. </w:t>
      </w:r>
      <w:r w:rsidR="00584BF4" w:rsidRPr="00B33EE6">
        <w:rPr>
          <w:rStyle w:val="Gl"/>
          <w:sz w:val="22"/>
          <w:szCs w:val="22"/>
          <w:lang w:val="en-GB"/>
        </w:rPr>
        <w:tab/>
      </w:r>
      <w:r w:rsidRPr="00B33EE6">
        <w:rPr>
          <w:rStyle w:val="Gl"/>
          <w:sz w:val="22"/>
          <w:szCs w:val="22"/>
          <w:lang w:val="en-GB"/>
        </w:rPr>
        <w:t xml:space="preserve">Contracting </w:t>
      </w:r>
      <w:r w:rsidR="00FE4E4B">
        <w:rPr>
          <w:rStyle w:val="Gl"/>
          <w:sz w:val="22"/>
          <w:szCs w:val="22"/>
          <w:lang w:val="en-GB"/>
        </w:rPr>
        <w:t>a</w:t>
      </w:r>
      <w:r w:rsidRPr="00B33EE6">
        <w:rPr>
          <w:rStyle w:val="Gl"/>
          <w:sz w:val="22"/>
          <w:szCs w:val="22"/>
          <w:lang w:val="en-GB"/>
        </w:rPr>
        <w:t>uthority</w:t>
      </w:r>
    </w:p>
    <w:p w14:paraId="01BB4545" w14:textId="4D062F35" w:rsidR="000C66C3" w:rsidRDefault="000C66C3" w:rsidP="000C66C3">
      <w:pPr>
        <w:tabs>
          <w:tab w:val="left" w:pos="8080"/>
        </w:tabs>
        <w:outlineLvl w:val="0"/>
        <w:rPr>
          <w:rStyle w:val="Gl"/>
          <w:b w:val="0"/>
          <w:sz w:val="22"/>
          <w:szCs w:val="22"/>
          <w:lang w:val="bg-BG"/>
        </w:rPr>
      </w:pPr>
      <w:r w:rsidRPr="005E32BA">
        <w:rPr>
          <w:rStyle w:val="Gl"/>
          <w:b w:val="0"/>
          <w:sz w:val="22"/>
          <w:szCs w:val="22"/>
          <w:lang w:val="en-GB"/>
        </w:rPr>
        <w:t xml:space="preserve">Official name: </w:t>
      </w:r>
      <w:r w:rsidRPr="005E32BA">
        <w:rPr>
          <w:b/>
          <w:sz w:val="22"/>
          <w:szCs w:val="22"/>
        </w:rPr>
        <w:t>Kırklareli Special Provincial Administration</w:t>
      </w:r>
      <w:r w:rsidRPr="005E32BA">
        <w:rPr>
          <w:rStyle w:val="Gl"/>
          <w:b w:val="0"/>
          <w:sz w:val="22"/>
          <w:szCs w:val="22"/>
          <w:lang w:val="en-GB"/>
        </w:rPr>
        <w:br/>
        <w:t>Postal address: Karakaş Mah., 100.Yıl Caddesi No:22 Merkez, Kirklareli, Turkey</w:t>
      </w:r>
      <w:r w:rsidRPr="005E32BA">
        <w:rPr>
          <w:rStyle w:val="Gl"/>
          <w:b w:val="0"/>
          <w:sz w:val="22"/>
          <w:szCs w:val="22"/>
          <w:lang w:val="en-GB"/>
        </w:rPr>
        <w:br/>
        <w:t>Town: Kırklareli</w:t>
      </w:r>
      <w:r w:rsidRPr="005E32BA">
        <w:rPr>
          <w:rStyle w:val="Gl"/>
          <w:b w:val="0"/>
          <w:sz w:val="22"/>
          <w:szCs w:val="22"/>
          <w:lang w:val="en-GB"/>
        </w:rPr>
        <w:br/>
        <w:t>Postal Code: 39100</w:t>
      </w:r>
      <w:r w:rsidRPr="005E32BA">
        <w:rPr>
          <w:rStyle w:val="Gl"/>
          <w:b w:val="0"/>
          <w:sz w:val="22"/>
          <w:szCs w:val="22"/>
          <w:lang w:val="en-GB"/>
        </w:rPr>
        <w:br/>
        <w:t xml:space="preserve">E-mail: </w:t>
      </w:r>
      <w:hyperlink r:id="rId11" w:history="1">
        <w:r w:rsidRPr="005E32BA">
          <w:rPr>
            <w:rStyle w:val="Kpr"/>
            <w:sz w:val="22"/>
            <w:szCs w:val="22"/>
            <w:lang w:val="en-GB"/>
          </w:rPr>
          <w:t>projectoffice39@gmail.com</w:t>
        </w:r>
      </w:hyperlink>
      <w:r w:rsidRPr="005E32BA">
        <w:rPr>
          <w:rStyle w:val="Gl"/>
          <w:b w:val="0"/>
          <w:sz w:val="22"/>
          <w:szCs w:val="22"/>
          <w:lang w:val="en-GB"/>
        </w:rPr>
        <w:t xml:space="preserve"> </w:t>
      </w:r>
      <w:r w:rsidRPr="005E32BA">
        <w:rPr>
          <w:rStyle w:val="Gl"/>
          <w:b w:val="0"/>
          <w:sz w:val="22"/>
          <w:szCs w:val="22"/>
          <w:lang w:val="en-GB"/>
        </w:rPr>
        <w:br/>
        <w:t xml:space="preserve">Internet address: </w:t>
      </w:r>
      <w:hyperlink r:id="rId12" w:history="1">
        <w:r w:rsidRPr="005E32BA">
          <w:rPr>
            <w:rStyle w:val="Kpr"/>
            <w:sz w:val="22"/>
            <w:szCs w:val="22"/>
            <w:lang w:val="en-GB"/>
          </w:rPr>
          <w:t>http://www.kirklareliilozelidaresi.gov.tr/</w:t>
        </w:r>
      </w:hyperlink>
    </w:p>
    <w:p w14:paraId="67F4A905" w14:textId="085D17A6" w:rsidR="006F5FD0" w:rsidRPr="00B33EE6" w:rsidRDefault="00350FF2" w:rsidP="000C66C3">
      <w:pPr>
        <w:ind w:left="357" w:right="357"/>
        <w:jc w:val="both"/>
        <w:rPr>
          <w:sz w:val="22"/>
          <w:szCs w:val="22"/>
          <w:lang w:val="en-GB"/>
        </w:rPr>
      </w:pPr>
      <w:r>
        <w:rPr>
          <w:snapToGrid/>
          <w:sz w:val="22"/>
          <w:szCs w:val="22"/>
          <w:lang w:val="en-GB"/>
        </w:rPr>
        <w:pict w14:anchorId="589D319E">
          <v:line id="_x0000_s1030" alt="" style="position:absolute;left:0;text-align:left;z-index:1;mso-wrap-edited:f;mso-width-percent:0;mso-height-percent:0;mso-width-percent:0;mso-height-percent: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Gl"/>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6. </w:t>
      </w:r>
      <w:r w:rsidR="00584BF4" w:rsidRPr="00B33EE6">
        <w:rPr>
          <w:rStyle w:val="Gl"/>
          <w:sz w:val="22"/>
          <w:szCs w:val="22"/>
          <w:lang w:val="en-GB"/>
        </w:rPr>
        <w:tab/>
      </w:r>
      <w:r w:rsidRPr="00B33EE6">
        <w:rPr>
          <w:rStyle w:val="Gl"/>
          <w:sz w:val="22"/>
          <w:szCs w:val="22"/>
          <w:lang w:val="en-GB"/>
        </w:rPr>
        <w:t>Nature of contract</w:t>
      </w:r>
    </w:p>
    <w:p w14:paraId="71099A85" w14:textId="4CA8B6ED" w:rsidR="006F5FD0" w:rsidRPr="00B33EE6" w:rsidRDefault="008A1184">
      <w:pPr>
        <w:pStyle w:val="Blockquote"/>
        <w:jc w:val="both"/>
        <w:rPr>
          <w:i/>
          <w:sz w:val="22"/>
          <w:szCs w:val="22"/>
          <w:lang w:val="en-GB"/>
        </w:rPr>
      </w:pPr>
      <w:r>
        <w:rPr>
          <w:rStyle w:val="Vurgu"/>
          <w:i w:val="0"/>
          <w:sz w:val="22"/>
          <w:szCs w:val="22"/>
          <w:lang w:val="en-GB"/>
        </w:rPr>
        <w:t xml:space="preserve"> </w:t>
      </w:r>
      <w:r w:rsidRPr="000C66C3">
        <w:rPr>
          <w:rStyle w:val="Vurgu"/>
          <w:i w:val="0"/>
          <w:sz w:val="22"/>
          <w:szCs w:val="22"/>
          <w:lang w:val="en-GB"/>
        </w:rPr>
        <w:t>lump sum</w:t>
      </w:r>
    </w:p>
    <w:p w14:paraId="1879C6BF" w14:textId="77777777" w:rsidR="006F5FD0" w:rsidRPr="00B33EE6" w:rsidRDefault="006F5FD0" w:rsidP="00584BF4">
      <w:pPr>
        <w:ind w:left="709" w:hanging="352"/>
        <w:outlineLvl w:val="0"/>
        <w:rPr>
          <w:sz w:val="22"/>
          <w:szCs w:val="22"/>
          <w:lang w:val="en-GB"/>
        </w:rPr>
      </w:pPr>
      <w:r w:rsidRPr="00B33EE6">
        <w:rPr>
          <w:rStyle w:val="Gl"/>
          <w:sz w:val="22"/>
          <w:szCs w:val="22"/>
          <w:lang w:val="en-GB"/>
        </w:rPr>
        <w:t xml:space="preserve">7. </w:t>
      </w:r>
      <w:r w:rsidR="00584BF4" w:rsidRPr="00B33EE6">
        <w:rPr>
          <w:rStyle w:val="Gl"/>
          <w:sz w:val="22"/>
          <w:szCs w:val="22"/>
          <w:lang w:val="en-GB"/>
        </w:rPr>
        <w:tab/>
      </w:r>
      <w:r w:rsidRPr="00B33EE6">
        <w:rPr>
          <w:rStyle w:val="Gl"/>
          <w:sz w:val="22"/>
          <w:szCs w:val="22"/>
          <w:lang w:val="en-GB"/>
        </w:rPr>
        <w:t>Contract description</w:t>
      </w:r>
    </w:p>
    <w:p w14:paraId="2A2D07DC" w14:textId="77777777" w:rsidR="000C66C3" w:rsidRPr="00A75332" w:rsidRDefault="000C66C3" w:rsidP="00C24F4F">
      <w:pPr>
        <w:pStyle w:val="Blockquote"/>
        <w:ind w:left="357"/>
        <w:jc w:val="both"/>
        <w:rPr>
          <w:iCs/>
          <w:sz w:val="22"/>
          <w:szCs w:val="22"/>
          <w:lang w:val="en-GB"/>
        </w:rPr>
      </w:pPr>
      <w:r w:rsidRPr="00A75332">
        <w:rPr>
          <w:iCs/>
          <w:sz w:val="22"/>
          <w:szCs w:val="22"/>
          <w:lang w:val="en-GB"/>
        </w:rPr>
        <w:t>The Kirklareli Special Provincial Administration</w:t>
      </w:r>
      <w:r>
        <w:rPr>
          <w:iCs/>
          <w:sz w:val="22"/>
          <w:szCs w:val="22"/>
          <w:lang w:val="en-GB"/>
        </w:rPr>
        <w:t xml:space="preserve"> is currently implementing a project</w:t>
      </w:r>
      <w:r w:rsidRPr="00A75332">
        <w:rPr>
          <w:iCs/>
          <w:sz w:val="22"/>
          <w:szCs w:val="22"/>
          <w:lang w:val="en-GB"/>
        </w:rPr>
        <w:t xml:space="preserve"> under the Interreg-IPA CBC Bulgaria-Turkey Programme 2014-2020, CCI No 2014TC16I5CB005: Project “Cycling routes in Kirklareli and Tsarevo”, ref. No CB005.2.21.080.</w:t>
      </w:r>
    </w:p>
    <w:p w14:paraId="12CA4C8E" w14:textId="6F3944FA" w:rsidR="006F5FD0" w:rsidRPr="00395881" w:rsidRDefault="000C66C3" w:rsidP="00395881">
      <w:pPr>
        <w:pStyle w:val="Blockquote"/>
        <w:ind w:left="357" w:firstLine="3"/>
        <w:jc w:val="both"/>
        <w:rPr>
          <w:iCs/>
          <w:sz w:val="22"/>
          <w:szCs w:val="22"/>
          <w:lang w:val="en-GB"/>
        </w:rPr>
      </w:pPr>
      <w:r>
        <w:rPr>
          <w:iCs/>
          <w:sz w:val="22"/>
          <w:szCs w:val="22"/>
          <w:lang w:val="en-GB"/>
        </w:rPr>
        <w:t>In connection with this project</w:t>
      </w:r>
      <w:r w:rsidRPr="007E339A">
        <w:rPr>
          <w:iCs/>
          <w:sz w:val="22"/>
          <w:szCs w:val="22"/>
          <w:lang w:val="en-GB"/>
        </w:rPr>
        <w:t xml:space="preserve"> the subject of this</w:t>
      </w:r>
      <w:r>
        <w:rPr>
          <w:iCs/>
          <w:sz w:val="22"/>
          <w:szCs w:val="22"/>
          <w:lang w:val="en-GB"/>
        </w:rPr>
        <w:t xml:space="preserve"> contract is supply of Bicycles for the purpose</w:t>
      </w:r>
      <w:r w:rsidRPr="007E339A">
        <w:rPr>
          <w:iCs/>
          <w:sz w:val="22"/>
          <w:szCs w:val="22"/>
          <w:lang w:val="en-GB"/>
        </w:rPr>
        <w:t xml:space="preserve"> of </w:t>
      </w:r>
      <w:r>
        <w:rPr>
          <w:iCs/>
          <w:sz w:val="22"/>
          <w:szCs w:val="22"/>
          <w:lang w:val="en-GB"/>
        </w:rPr>
        <w:t>this project</w:t>
      </w:r>
      <w:r w:rsidRPr="007E339A">
        <w:rPr>
          <w:iCs/>
          <w:sz w:val="22"/>
          <w:szCs w:val="22"/>
          <w:lang w:val="en-GB"/>
        </w:rPr>
        <w:t>.</w:t>
      </w:r>
    </w:p>
    <w:p w14:paraId="75E79BC7" w14:textId="77777777" w:rsidR="006F5FD0" w:rsidRPr="000C66C3" w:rsidRDefault="006F5FD0" w:rsidP="00584BF4">
      <w:pPr>
        <w:ind w:left="709" w:hanging="349"/>
        <w:outlineLvl w:val="0"/>
        <w:rPr>
          <w:sz w:val="22"/>
          <w:szCs w:val="22"/>
          <w:lang w:val="en-GB"/>
        </w:rPr>
      </w:pPr>
      <w:r w:rsidRPr="000C66C3">
        <w:rPr>
          <w:rStyle w:val="Gl"/>
          <w:sz w:val="22"/>
          <w:szCs w:val="22"/>
          <w:lang w:val="en-GB"/>
        </w:rPr>
        <w:lastRenderedPageBreak/>
        <w:t xml:space="preserve">8. </w:t>
      </w:r>
      <w:r w:rsidR="00584BF4" w:rsidRPr="000C66C3">
        <w:rPr>
          <w:rStyle w:val="Gl"/>
          <w:sz w:val="22"/>
          <w:szCs w:val="22"/>
          <w:lang w:val="en-GB"/>
        </w:rPr>
        <w:tab/>
      </w:r>
      <w:r w:rsidRPr="000C66C3">
        <w:rPr>
          <w:rStyle w:val="Gl"/>
          <w:sz w:val="22"/>
          <w:szCs w:val="22"/>
          <w:lang w:val="en-GB"/>
        </w:rPr>
        <w:t>Number and titles of lots</w:t>
      </w:r>
    </w:p>
    <w:p w14:paraId="29095621" w14:textId="2B63109B" w:rsidR="00DA0ABA" w:rsidRPr="00B33EE6" w:rsidRDefault="00364564" w:rsidP="000C66C3">
      <w:pPr>
        <w:ind w:left="709" w:hanging="349"/>
        <w:outlineLvl w:val="0"/>
        <w:rPr>
          <w:rStyle w:val="Vurgu"/>
          <w:i w:val="0"/>
          <w:sz w:val="22"/>
          <w:szCs w:val="22"/>
          <w:lang w:val="en-GB"/>
        </w:rPr>
      </w:pPr>
      <w:r w:rsidRPr="000C66C3">
        <w:rPr>
          <w:rStyle w:val="Vurgu"/>
          <w:i w:val="0"/>
          <w:sz w:val="22"/>
          <w:szCs w:val="22"/>
          <w:lang w:val="en-GB"/>
        </w:rPr>
        <w:t>O</w:t>
      </w:r>
      <w:r w:rsidR="00DA0ABA" w:rsidRPr="000C66C3">
        <w:rPr>
          <w:rStyle w:val="Vurgu"/>
          <w:i w:val="0"/>
          <w:sz w:val="22"/>
          <w:szCs w:val="22"/>
          <w:lang w:val="en-GB"/>
        </w:rPr>
        <w:t>ne lot only</w:t>
      </w:r>
      <w:r w:rsidR="00846F87">
        <w:rPr>
          <w:rStyle w:val="Vurgu"/>
          <w:i w:val="0"/>
          <w:sz w:val="22"/>
          <w:szCs w:val="22"/>
          <w:lang w:val="en-GB"/>
        </w:rPr>
        <w:t xml:space="preserve"> </w:t>
      </w:r>
    </w:p>
    <w:p w14:paraId="39BB965D" w14:textId="499825D3" w:rsidR="00971962" w:rsidRPr="00B33EE6" w:rsidRDefault="006F5FD0" w:rsidP="008660AD">
      <w:pPr>
        <w:ind w:left="709" w:hanging="349"/>
        <w:outlineLvl w:val="0"/>
        <w:rPr>
          <w:sz w:val="22"/>
          <w:szCs w:val="22"/>
          <w:highlight w:val="yellow"/>
          <w:lang w:val="en-GB"/>
        </w:rPr>
      </w:pPr>
      <w:r w:rsidRPr="00B33EE6">
        <w:rPr>
          <w:rStyle w:val="Gl"/>
          <w:sz w:val="22"/>
          <w:szCs w:val="22"/>
          <w:lang w:val="en-GB"/>
        </w:rPr>
        <w:t xml:space="preserve">9. </w:t>
      </w:r>
      <w:r w:rsidR="00584BF4" w:rsidRPr="00B33EE6">
        <w:rPr>
          <w:rStyle w:val="Gl"/>
          <w:sz w:val="22"/>
          <w:szCs w:val="22"/>
          <w:lang w:val="en-GB"/>
        </w:rPr>
        <w:tab/>
      </w:r>
    </w:p>
    <w:p w14:paraId="6C843D95" w14:textId="77777777" w:rsidR="006F5FD0" w:rsidRPr="00B33EE6" w:rsidRDefault="00350FF2">
      <w:pPr>
        <w:pStyle w:val="Blockquote"/>
        <w:jc w:val="both"/>
        <w:rPr>
          <w:sz w:val="22"/>
          <w:szCs w:val="22"/>
          <w:lang w:val="en-GB"/>
        </w:rPr>
      </w:pPr>
      <w:r>
        <w:rPr>
          <w:snapToGrid/>
          <w:sz w:val="22"/>
          <w:szCs w:val="22"/>
          <w:lang w:val="en-GB"/>
        </w:rPr>
        <w:pict w14:anchorId="21854D6C">
          <v:line id="_x0000_s1029" alt="" style="position:absolute;left:0;text-align:left;z-index:2;mso-wrap-edited:f;mso-width-percent:0;mso-height-percent:0;mso-width-percent:0;mso-height-percent:0"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Gl"/>
          <w:sz w:val="28"/>
          <w:szCs w:val="28"/>
          <w:lang w:val="en-GB"/>
        </w:rPr>
        <w:t>CONDITIONS OF PARTICIPATION</w:t>
      </w:r>
    </w:p>
    <w:p w14:paraId="2CB5FCF7" w14:textId="4EFF6DAD" w:rsidR="00B9793F" w:rsidRDefault="00B9793F" w:rsidP="008660AD">
      <w:pPr>
        <w:pStyle w:val="DipnotMetni"/>
        <w:ind w:firstLine="426"/>
        <w:rPr>
          <w:rStyle w:val="Gl"/>
          <w:sz w:val="22"/>
          <w:szCs w:val="22"/>
          <w:lang w:val="en-GB"/>
        </w:rPr>
      </w:pPr>
      <w:r>
        <w:rPr>
          <w:rStyle w:val="Gl"/>
          <w:sz w:val="22"/>
          <w:szCs w:val="22"/>
          <w:lang w:val="en-GB"/>
        </w:rPr>
        <w:t xml:space="preserve">10. </w:t>
      </w:r>
      <w:r w:rsidRPr="00D97139">
        <w:rPr>
          <w:rStyle w:val="Gl"/>
          <w:sz w:val="22"/>
          <w:szCs w:val="22"/>
          <w:lang w:val="en-GB"/>
        </w:rPr>
        <w:t>Legal basis, eligibility and rules of origin</w:t>
      </w:r>
    </w:p>
    <w:p w14:paraId="16C2C3FA" w14:textId="77777777" w:rsidR="000C66C3" w:rsidRDefault="000C66C3" w:rsidP="000C66C3">
      <w:pPr>
        <w:numPr>
          <w:ilvl w:val="0"/>
          <w:numId w:val="46"/>
        </w:numPr>
        <w:pBdr>
          <w:top w:val="nil"/>
          <w:left w:val="nil"/>
          <w:bottom w:val="nil"/>
          <w:right w:val="nil"/>
          <w:between w:val="nil"/>
        </w:pBdr>
        <w:tabs>
          <w:tab w:val="left" w:pos="720"/>
        </w:tabs>
        <w:ind w:left="720"/>
        <w:jc w:val="both"/>
        <w:rPr>
          <w:color w:val="000000"/>
          <w:szCs w:val="24"/>
        </w:rPr>
      </w:pPr>
      <w:r>
        <w:rPr>
          <w:color w:val="000000"/>
          <w:sz w:val="22"/>
          <w:szCs w:val="22"/>
        </w:rPr>
        <w:t>Regulation</w:t>
      </w:r>
      <w:r>
        <w:rPr>
          <w:b/>
          <w:color w:val="000000"/>
          <w:sz w:val="22"/>
          <w:szCs w:val="22"/>
        </w:rPr>
        <w:t xml:space="preserve"> </w:t>
      </w:r>
      <w:r>
        <w:rPr>
          <w:color w:val="000000"/>
          <w:sz w:val="22"/>
          <w:szCs w:val="22"/>
        </w:rPr>
        <w:t xml:space="preserve">(EU) No 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 – IPA II Regulation;  </w:t>
      </w:r>
    </w:p>
    <w:p w14:paraId="48E507AA" w14:textId="77777777" w:rsidR="000C66C3" w:rsidRDefault="000C66C3" w:rsidP="000C66C3">
      <w:pPr>
        <w:numPr>
          <w:ilvl w:val="0"/>
          <w:numId w:val="46"/>
        </w:numPr>
        <w:pBdr>
          <w:top w:val="nil"/>
          <w:left w:val="nil"/>
          <w:bottom w:val="nil"/>
          <w:right w:val="nil"/>
          <w:between w:val="nil"/>
        </w:pBdr>
        <w:tabs>
          <w:tab w:val="left" w:pos="720"/>
        </w:tabs>
        <w:ind w:left="720"/>
        <w:jc w:val="both"/>
        <w:rPr>
          <w:color w:val="000000"/>
          <w:sz w:val="22"/>
          <w:szCs w:val="22"/>
        </w:rPr>
      </w:pPr>
      <w:r>
        <w:rPr>
          <w:color w:val="000000"/>
          <w:sz w:val="22"/>
          <w:szCs w:val="22"/>
        </w:rPr>
        <w:t>Commission Implementing Regulation (EU) No 447/2014 of 2 May 2014 on the specific rules for implementing Regulation (EU) No 231/2014 of the European Parliament and of the Council establishing an Instrument for Pre-accession Assistance (IPA II) - IPA II Implementing Regulation;</w:t>
      </w:r>
    </w:p>
    <w:p w14:paraId="1563E74B" w14:textId="77777777" w:rsidR="000C66C3" w:rsidRDefault="000C66C3" w:rsidP="000C66C3">
      <w:pPr>
        <w:numPr>
          <w:ilvl w:val="0"/>
          <w:numId w:val="46"/>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No 1299/2013 of the European Parliament and of the Council of 17 December 2013 on specific provisions for the support from the European Regional Development Fund to the European territorial cooperation goal;</w:t>
      </w:r>
    </w:p>
    <w:p w14:paraId="34ACD641" w14:textId="77777777" w:rsidR="000C66C3" w:rsidRDefault="000C66C3" w:rsidP="000C66C3">
      <w:pPr>
        <w:numPr>
          <w:ilvl w:val="0"/>
          <w:numId w:val="46"/>
        </w:numPr>
        <w:pBdr>
          <w:top w:val="nil"/>
          <w:left w:val="nil"/>
          <w:bottom w:val="nil"/>
          <w:right w:val="nil"/>
          <w:between w:val="nil"/>
        </w:pBdr>
        <w:tabs>
          <w:tab w:val="left" w:pos="720"/>
        </w:tabs>
        <w:ind w:left="720"/>
        <w:jc w:val="both"/>
        <w:rPr>
          <w:color w:val="000000"/>
          <w:sz w:val="22"/>
          <w:szCs w:val="22"/>
        </w:rPr>
      </w:pPr>
      <w:r>
        <w:rPr>
          <w:color w:val="000000"/>
          <w:sz w:val="22"/>
          <w:szCs w:val="22"/>
        </w:rPr>
        <w:t>Commission Delegated Regulation (EU) No 481/2014 of 4 March 2014 supplementing Regulation (EU) No 1299/2013 of the European Parliament and of the Council with regard to specific rules on eligibility of expenditure for cooperation programmes;</w:t>
      </w:r>
    </w:p>
    <w:p w14:paraId="65A44351" w14:textId="77777777" w:rsidR="000C66C3" w:rsidRDefault="000C66C3" w:rsidP="000C66C3">
      <w:pPr>
        <w:numPr>
          <w:ilvl w:val="0"/>
          <w:numId w:val="46"/>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69B7741B" w14:textId="77777777" w:rsidR="000C66C3" w:rsidRDefault="000C66C3" w:rsidP="000C66C3">
      <w:pPr>
        <w:numPr>
          <w:ilvl w:val="0"/>
          <w:numId w:val="46"/>
        </w:numPr>
        <w:pBdr>
          <w:top w:val="nil"/>
          <w:left w:val="nil"/>
          <w:bottom w:val="nil"/>
          <w:right w:val="nil"/>
          <w:between w:val="nil"/>
        </w:pBdr>
        <w:tabs>
          <w:tab w:val="left" w:pos="720"/>
        </w:tabs>
        <w:ind w:left="720"/>
        <w:jc w:val="both"/>
        <w:rPr>
          <w:color w:val="000000"/>
          <w:sz w:val="22"/>
          <w:szCs w:val="22"/>
        </w:rPr>
      </w:pPr>
      <w:r>
        <w:rPr>
          <w:color w:val="000000"/>
          <w:sz w:val="22"/>
          <w:szCs w:val="22"/>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14:paraId="3DEE2F69" w14:textId="77777777" w:rsidR="000C66C3" w:rsidRDefault="000C66C3" w:rsidP="000C66C3">
      <w:pPr>
        <w:numPr>
          <w:ilvl w:val="0"/>
          <w:numId w:val="46"/>
        </w:numPr>
        <w:pBdr>
          <w:top w:val="nil"/>
          <w:left w:val="nil"/>
          <w:bottom w:val="nil"/>
          <w:right w:val="nil"/>
          <w:between w:val="nil"/>
        </w:pBdr>
        <w:tabs>
          <w:tab w:val="left" w:pos="720"/>
        </w:tabs>
        <w:ind w:left="720"/>
        <w:jc w:val="both"/>
        <w:rPr>
          <w:color w:val="000000"/>
          <w:sz w:val="22"/>
          <w:szCs w:val="22"/>
        </w:rPr>
      </w:pPr>
      <w:r>
        <w:rPr>
          <w:color w:val="000000"/>
          <w:sz w:val="22"/>
          <w:szCs w:val="22"/>
        </w:rPr>
        <w:t xml:space="preserve">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w:t>
      </w:r>
      <w:r>
        <w:rPr>
          <w:color w:val="000000"/>
          <w:sz w:val="22"/>
          <w:szCs w:val="22"/>
        </w:rPr>
        <w:lastRenderedPageBreak/>
        <w:t>541/2014/EU and repealing Regulation (EU, Euratom) No 966/2012;</w:t>
      </w:r>
    </w:p>
    <w:p w14:paraId="21D2BECF" w14:textId="29636F1A" w:rsidR="00B9793F" w:rsidRPr="00395881" w:rsidRDefault="000C66C3" w:rsidP="00395881">
      <w:pPr>
        <w:numPr>
          <w:ilvl w:val="0"/>
          <w:numId w:val="46"/>
        </w:numPr>
        <w:pBdr>
          <w:top w:val="nil"/>
          <w:left w:val="nil"/>
          <w:bottom w:val="nil"/>
          <w:right w:val="nil"/>
          <w:between w:val="nil"/>
        </w:pBdr>
        <w:tabs>
          <w:tab w:val="left" w:pos="720"/>
        </w:tabs>
        <w:ind w:left="720"/>
        <w:jc w:val="both"/>
        <w:rPr>
          <w:rStyle w:val="Gl"/>
          <w:b w:val="0"/>
          <w:color w:val="000000"/>
          <w:szCs w:val="24"/>
        </w:rPr>
      </w:pPr>
      <w:r>
        <w:rPr>
          <w:color w:val="000000"/>
          <w:sz w:val="22"/>
          <w:szCs w:val="22"/>
        </w:rPr>
        <w:t>Interreg-IPA CBC Programme Bulgaria-Turkey Programme 2014-2020, CCI</w:t>
      </w:r>
      <w:r>
        <w:rPr>
          <w:color w:val="000000"/>
          <w:sz w:val="22"/>
          <w:szCs w:val="22"/>
          <w:lang w:val="bg-BG"/>
        </w:rPr>
        <w:t xml:space="preserve"> </w:t>
      </w:r>
      <w:r>
        <w:rPr>
          <w:color w:val="000000"/>
          <w:sz w:val="22"/>
          <w:szCs w:val="22"/>
        </w:rPr>
        <w:t>No 014TC16I5CB005, approved by the European Commission with Decision № C (2015) 5280 of 22</w:t>
      </w:r>
      <w:r>
        <w:rPr>
          <w:color w:val="000000"/>
          <w:sz w:val="22"/>
          <w:szCs w:val="22"/>
          <w:vertAlign w:val="superscript"/>
        </w:rPr>
        <w:t>nd</w:t>
      </w:r>
      <w:r>
        <w:rPr>
          <w:color w:val="000000"/>
          <w:sz w:val="22"/>
          <w:szCs w:val="22"/>
        </w:rPr>
        <w:t xml:space="preserve"> of July 2015</w:t>
      </w:r>
      <w:r>
        <w:rPr>
          <w:color w:val="000000"/>
          <w:szCs w:val="24"/>
        </w:rPr>
        <w:t>.</w:t>
      </w: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Gl"/>
          <w:sz w:val="22"/>
          <w:szCs w:val="22"/>
          <w:lang w:val="en-GB"/>
        </w:rPr>
        <w:t>1</w:t>
      </w:r>
      <w:r w:rsidR="00632BDC" w:rsidRPr="00B33EE6">
        <w:rPr>
          <w:rStyle w:val="Gl"/>
          <w:sz w:val="22"/>
          <w:szCs w:val="22"/>
          <w:lang w:val="en-GB"/>
        </w:rPr>
        <w:t>1</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Number of </w:t>
      </w:r>
      <w:r w:rsidR="00632BDC" w:rsidRPr="00B33EE6">
        <w:rPr>
          <w:rStyle w:val="Gl"/>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60A454E0" w14:textId="5C779233" w:rsidR="001A66C2" w:rsidRPr="00395881" w:rsidRDefault="001A66C2" w:rsidP="00395881">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2</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3</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Sub-contracting</w:t>
      </w:r>
    </w:p>
    <w:p w14:paraId="2C010702" w14:textId="2690E391" w:rsidR="00E9047D" w:rsidRDefault="006D6080" w:rsidP="00584BF4">
      <w:pPr>
        <w:ind w:left="709" w:hanging="349"/>
        <w:outlineLvl w:val="0"/>
        <w:rPr>
          <w:rStyle w:val="Vurgu"/>
          <w:i w:val="0"/>
          <w:sz w:val="22"/>
          <w:szCs w:val="22"/>
          <w:lang w:val="en-GB"/>
        </w:rPr>
      </w:pPr>
      <w:r w:rsidRPr="00B33EE6">
        <w:rPr>
          <w:rStyle w:val="Vurgu"/>
          <w:i w:val="0"/>
          <w:sz w:val="22"/>
          <w:szCs w:val="22"/>
          <w:lang w:val="en-GB"/>
        </w:rPr>
        <w:t>Subcontracting is allowed</w:t>
      </w:r>
      <w:r w:rsidR="000C1101" w:rsidRPr="00B33EE6">
        <w:rPr>
          <w:rStyle w:val="Vurgu"/>
          <w:i w:val="0"/>
          <w:sz w:val="22"/>
          <w:szCs w:val="22"/>
          <w:lang w:val="en-GB"/>
        </w:rPr>
        <w:t>.</w:t>
      </w:r>
    </w:p>
    <w:p w14:paraId="3E76976B" w14:textId="77777777" w:rsidR="006F5FD0" w:rsidRPr="00B33EE6" w:rsidRDefault="00350FF2">
      <w:pPr>
        <w:keepNext/>
        <w:jc w:val="center"/>
        <w:rPr>
          <w:sz w:val="28"/>
          <w:szCs w:val="28"/>
          <w:lang w:val="en-GB"/>
        </w:rPr>
      </w:pPr>
      <w:r>
        <w:rPr>
          <w:snapToGrid/>
          <w:sz w:val="22"/>
          <w:szCs w:val="22"/>
          <w:lang w:val="en-GB"/>
        </w:rPr>
        <w:pict w14:anchorId="11F7E59B">
          <v:line id="_x0000_s1028" alt="" style="position:absolute;left:0;text-align:left;z-index:3;mso-wrap-edited:f;mso-width-percent:0;mso-height-percent:0;mso-width-percent:0;mso-height-percent:0" from="1.5pt,2.05pt" to="469.5pt,2.1pt" o:allowincell="f" strokecolor="#d4d4d4" strokeweight="1.75pt">
            <v:shadow on="t" origin=",32385f" offset="0,-1pt"/>
          </v:line>
        </w:pict>
      </w:r>
      <w:r w:rsidR="006F5FD0" w:rsidRPr="00B33EE6">
        <w:rPr>
          <w:rStyle w:val="Gl"/>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4</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Provisional commencement date of the contract</w:t>
      </w:r>
    </w:p>
    <w:p w14:paraId="7C4EA8E0" w14:textId="48667B8C" w:rsidR="006F5FD0" w:rsidRPr="00B33EE6" w:rsidRDefault="000C66C3" w:rsidP="00571687">
      <w:pPr>
        <w:pStyle w:val="Blockquote"/>
        <w:jc w:val="both"/>
        <w:rPr>
          <w:i/>
          <w:sz w:val="22"/>
          <w:szCs w:val="22"/>
          <w:lang w:val="en-GB"/>
        </w:rPr>
      </w:pPr>
      <w:r>
        <w:rPr>
          <w:rStyle w:val="Vurgu"/>
          <w:i w:val="0"/>
          <w:sz w:val="22"/>
          <w:szCs w:val="22"/>
          <w:lang w:val="en-GB"/>
        </w:rPr>
        <w:t>23.03.2022</w:t>
      </w:r>
    </w:p>
    <w:p w14:paraId="70B1A4AA" w14:textId="77777777" w:rsidR="006F5FD0" w:rsidRPr="00B33EE6" w:rsidRDefault="005639EC" w:rsidP="00571687">
      <w:pPr>
        <w:ind w:left="709" w:hanging="349"/>
        <w:outlineLvl w:val="0"/>
        <w:rPr>
          <w:sz w:val="22"/>
          <w:szCs w:val="22"/>
          <w:lang w:val="en-GB"/>
        </w:rPr>
      </w:pPr>
      <w:r w:rsidRPr="00B33EE6">
        <w:rPr>
          <w:rStyle w:val="Gl"/>
          <w:sz w:val="22"/>
          <w:szCs w:val="22"/>
          <w:lang w:val="en-GB"/>
        </w:rPr>
        <w:t>15</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Implementation</w:t>
      </w:r>
      <w:r w:rsidR="006F5FD0" w:rsidRPr="00B33EE6">
        <w:rPr>
          <w:rStyle w:val="Gl"/>
          <w:sz w:val="22"/>
          <w:szCs w:val="22"/>
          <w:lang w:val="en-GB"/>
        </w:rPr>
        <w:t xml:space="preserve"> period of </w:t>
      </w:r>
      <w:r w:rsidRPr="00B33EE6">
        <w:rPr>
          <w:rStyle w:val="Gl"/>
          <w:sz w:val="22"/>
          <w:szCs w:val="22"/>
          <w:lang w:val="en-GB"/>
        </w:rPr>
        <w:t>the</w:t>
      </w:r>
      <w:r w:rsidR="00476D80" w:rsidRPr="00B33EE6">
        <w:rPr>
          <w:rStyle w:val="Gl"/>
          <w:sz w:val="22"/>
          <w:szCs w:val="22"/>
          <w:lang w:val="en-GB"/>
        </w:rPr>
        <w:t xml:space="preserve"> tasks </w:t>
      </w:r>
    </w:p>
    <w:p w14:paraId="0951B3D5" w14:textId="3EBC1016" w:rsidR="000C66C3" w:rsidRPr="00B33EE6" w:rsidRDefault="000C66C3" w:rsidP="000C66C3">
      <w:pPr>
        <w:pStyle w:val="Blockquote"/>
        <w:jc w:val="both"/>
        <w:rPr>
          <w:i/>
          <w:sz w:val="22"/>
          <w:szCs w:val="22"/>
          <w:lang w:val="en-GB"/>
        </w:rPr>
      </w:pPr>
      <w:r>
        <w:rPr>
          <w:rStyle w:val="Vurgu"/>
          <w:i w:val="0"/>
          <w:sz w:val="22"/>
          <w:szCs w:val="22"/>
          <w:lang w:val="en-GB"/>
        </w:rPr>
        <w:t>6 months</w:t>
      </w:r>
    </w:p>
    <w:p w14:paraId="29CC7DD8" w14:textId="77777777" w:rsidR="006F5FD0" w:rsidRPr="00B33EE6" w:rsidRDefault="00350FF2">
      <w:pPr>
        <w:rPr>
          <w:sz w:val="22"/>
          <w:szCs w:val="22"/>
          <w:lang w:val="en-GB"/>
        </w:rPr>
      </w:pPr>
      <w:r>
        <w:rPr>
          <w:snapToGrid/>
          <w:sz w:val="22"/>
          <w:szCs w:val="22"/>
          <w:lang w:val="en-GB"/>
        </w:rPr>
        <w:pict w14:anchorId="6E3015B7">
          <v:line id="_x0000_s1027" alt="" style="position:absolute;z-index:4;mso-wrap-edited:f;mso-width-percent:0;mso-height-percent:0;mso-width-percent:0;mso-height-percent:0"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Gl"/>
          <w:sz w:val="28"/>
          <w:szCs w:val="28"/>
          <w:lang w:val="en-GB"/>
        </w:rPr>
        <w:t>SELECTION AND AWARD CRITERIA</w:t>
      </w:r>
    </w:p>
    <w:p w14:paraId="392C793B" w14:textId="2D2CD701" w:rsidR="006F5FD0" w:rsidRDefault="005639EC" w:rsidP="00584BF4">
      <w:pPr>
        <w:ind w:left="709" w:hanging="349"/>
        <w:outlineLvl w:val="0"/>
        <w:rPr>
          <w:rStyle w:val="Gl"/>
          <w:sz w:val="22"/>
          <w:szCs w:val="22"/>
          <w:lang w:val="en-GB"/>
        </w:rPr>
      </w:pPr>
      <w:r w:rsidRPr="00B33EE6">
        <w:rPr>
          <w:rStyle w:val="Gl"/>
          <w:sz w:val="22"/>
          <w:szCs w:val="22"/>
          <w:lang w:val="en-GB"/>
        </w:rPr>
        <w:t>16</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w:t>
      </w:r>
      <w:r w:rsidRPr="00AE0634">
        <w:rPr>
          <w:sz w:val="22"/>
          <w:szCs w:val="22"/>
          <w:lang w:val="en-GB"/>
        </w:rPr>
        <w:lastRenderedPageBreak/>
        <w:t>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3D4DD6DC" w:rsidR="00831982" w:rsidRPr="00395881" w:rsidRDefault="00831982" w:rsidP="00395881">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D716E4E" w14:textId="09857B85" w:rsidR="006F5FD0" w:rsidRPr="00B33EE6" w:rsidRDefault="006F5FD0" w:rsidP="00395881">
      <w:pPr>
        <w:pStyle w:val="Blockquote"/>
        <w:ind w:left="426"/>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290C7638"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DAA2DFF" w14:textId="77777777" w:rsidR="000C66C3" w:rsidRPr="00E945D9" w:rsidRDefault="000C66C3" w:rsidP="000C66C3">
      <w:pPr>
        <w:pStyle w:val="Blockquote"/>
        <w:tabs>
          <w:tab w:val="left" w:pos="284"/>
        </w:tabs>
        <w:ind w:left="1134"/>
        <w:jc w:val="both"/>
        <w:rPr>
          <w:b/>
          <w:bCs/>
          <w:sz w:val="22"/>
          <w:szCs w:val="22"/>
          <w:lang w:val="en-GB"/>
        </w:rPr>
      </w:pPr>
      <w:r w:rsidRPr="00E945D9">
        <w:rPr>
          <w:b/>
          <w:bCs/>
          <w:sz w:val="22"/>
          <w:szCs w:val="22"/>
          <w:lang w:val="en-GB"/>
        </w:rPr>
        <w:t xml:space="preserve">Criteria for legal and natural persons: </w:t>
      </w:r>
      <w:r w:rsidRPr="00E945D9" w:rsidDel="006C0EB6">
        <w:rPr>
          <w:b/>
          <w:bCs/>
          <w:sz w:val="22"/>
          <w:szCs w:val="22"/>
          <w:lang w:val="en-GB"/>
        </w:rPr>
        <w:t xml:space="preserve"> </w:t>
      </w:r>
    </w:p>
    <w:p w14:paraId="54B34044" w14:textId="166BBE2C" w:rsidR="000C66C3" w:rsidRDefault="000C66C3" w:rsidP="000C66C3">
      <w:pPr>
        <w:pStyle w:val="Blockquote"/>
        <w:numPr>
          <w:ilvl w:val="0"/>
          <w:numId w:val="35"/>
        </w:numPr>
        <w:shd w:val="clear" w:color="auto" w:fill="FFFFFF"/>
        <w:tabs>
          <w:tab w:val="clear" w:pos="360"/>
        </w:tabs>
        <w:ind w:left="1560" w:right="310" w:hanging="426"/>
        <w:jc w:val="both"/>
        <w:rPr>
          <w:sz w:val="22"/>
          <w:szCs w:val="22"/>
          <w:lang w:val="en-GB"/>
        </w:rPr>
      </w:pPr>
      <w:r w:rsidRPr="000372FE">
        <w:rPr>
          <w:sz w:val="22"/>
          <w:szCs w:val="22"/>
          <w:lang w:val="en-GB"/>
        </w:rPr>
        <w:t xml:space="preserve">The average annual turnover of the tenderer must exceed the annualised maximum </w:t>
      </w:r>
      <w:r w:rsidRPr="00CF1256">
        <w:rPr>
          <w:sz w:val="22"/>
          <w:szCs w:val="22"/>
          <w:lang w:val="en-GB"/>
        </w:rPr>
        <w:t>budget of the contract;</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68E942C6" w:rsidR="00BE08EC"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05E2A85" w14:textId="77777777" w:rsidR="000C66C3" w:rsidRPr="00B65B35" w:rsidRDefault="000C66C3" w:rsidP="000C66C3">
      <w:pPr>
        <w:pStyle w:val="Blockquote"/>
        <w:ind w:left="1134" w:right="1"/>
        <w:jc w:val="both"/>
        <w:rPr>
          <w:b/>
          <w:sz w:val="22"/>
          <w:szCs w:val="22"/>
          <w:lang w:val="en-GB"/>
        </w:rPr>
      </w:pPr>
      <w:r>
        <w:rPr>
          <w:b/>
          <w:sz w:val="22"/>
          <w:szCs w:val="22"/>
          <w:lang w:val="en-GB"/>
        </w:rPr>
        <w:t>Professional criterion for legal persons</w:t>
      </w:r>
      <w:r w:rsidRPr="00D225CC">
        <w:rPr>
          <w:b/>
          <w:sz w:val="22"/>
          <w:szCs w:val="22"/>
          <w:lang w:val="en-GB"/>
        </w:rPr>
        <w:t>:</w:t>
      </w:r>
    </w:p>
    <w:p w14:paraId="5791F134" w14:textId="77777777" w:rsidR="000C66C3" w:rsidRPr="003319C5" w:rsidRDefault="000C66C3" w:rsidP="000C66C3">
      <w:pPr>
        <w:pStyle w:val="Blockquote"/>
        <w:numPr>
          <w:ilvl w:val="0"/>
          <w:numId w:val="34"/>
        </w:numPr>
        <w:tabs>
          <w:tab w:val="clear" w:pos="360"/>
          <w:tab w:val="num" w:pos="1560"/>
        </w:tabs>
        <w:ind w:left="1560" w:right="1" w:hanging="425"/>
        <w:jc w:val="both"/>
        <w:rPr>
          <w:sz w:val="22"/>
          <w:szCs w:val="22"/>
          <w:lang w:val="en-GB"/>
        </w:rPr>
      </w:pPr>
      <w:r w:rsidRPr="00D225CC">
        <w:rPr>
          <w:sz w:val="22"/>
          <w:szCs w:val="22"/>
          <w:lang w:val="en-GB"/>
        </w:rPr>
        <w:t xml:space="preserve">at least </w:t>
      </w:r>
      <w:r>
        <w:rPr>
          <w:sz w:val="22"/>
          <w:szCs w:val="22"/>
          <w:lang w:val="en-GB"/>
        </w:rPr>
        <w:t>one expert</w:t>
      </w:r>
      <w:r w:rsidRPr="00D225CC">
        <w:rPr>
          <w:sz w:val="22"/>
          <w:szCs w:val="22"/>
          <w:lang w:val="en-GB"/>
        </w:rPr>
        <w:t xml:space="preserve"> currently work</w:t>
      </w:r>
      <w:r>
        <w:rPr>
          <w:sz w:val="22"/>
          <w:szCs w:val="22"/>
          <w:lang w:val="en-GB"/>
        </w:rPr>
        <w:t>s</w:t>
      </w:r>
      <w:r w:rsidRPr="00D225CC">
        <w:rPr>
          <w:sz w:val="22"/>
          <w:szCs w:val="22"/>
          <w:lang w:val="en-GB"/>
        </w:rPr>
        <w:t xml:space="preserve"> for the </w:t>
      </w:r>
      <w:r>
        <w:rPr>
          <w:sz w:val="22"/>
          <w:szCs w:val="22"/>
          <w:lang w:val="en-GB"/>
        </w:rPr>
        <w:t>tenderer</w:t>
      </w:r>
      <w:r w:rsidRPr="00D225CC">
        <w:rPr>
          <w:sz w:val="22"/>
          <w:szCs w:val="22"/>
          <w:lang w:val="en-GB"/>
        </w:rPr>
        <w:t xml:space="preserve"> in fields related to this contract; </w:t>
      </w:r>
    </w:p>
    <w:p w14:paraId="14DF3D46" w14:textId="77777777" w:rsidR="000C66C3" w:rsidRPr="00D225CC" w:rsidRDefault="000C66C3" w:rsidP="000C66C3">
      <w:pPr>
        <w:pStyle w:val="Blockquote"/>
        <w:ind w:left="1134" w:right="1"/>
        <w:jc w:val="both"/>
        <w:rPr>
          <w:b/>
          <w:sz w:val="22"/>
          <w:szCs w:val="22"/>
          <w:lang w:val="en-GB"/>
        </w:rPr>
      </w:pPr>
      <w:r>
        <w:rPr>
          <w:b/>
          <w:sz w:val="22"/>
          <w:szCs w:val="22"/>
          <w:lang w:val="en-GB"/>
        </w:rPr>
        <w:t>Professional criterion for natural persons</w:t>
      </w:r>
      <w:r w:rsidRPr="00D225CC">
        <w:rPr>
          <w:b/>
          <w:sz w:val="22"/>
          <w:szCs w:val="22"/>
          <w:lang w:val="en-GB"/>
        </w:rPr>
        <w:t>:</w:t>
      </w:r>
    </w:p>
    <w:p w14:paraId="57B39B6B" w14:textId="73402334" w:rsidR="000C66C3" w:rsidRPr="007B4C91" w:rsidRDefault="000C66C3" w:rsidP="007B4C91">
      <w:pPr>
        <w:pStyle w:val="Blockquote"/>
        <w:numPr>
          <w:ilvl w:val="0"/>
          <w:numId w:val="34"/>
        </w:numPr>
        <w:tabs>
          <w:tab w:val="clear" w:pos="360"/>
          <w:tab w:val="num" w:pos="1560"/>
        </w:tabs>
        <w:ind w:left="1560" w:right="1" w:hanging="425"/>
        <w:jc w:val="both"/>
        <w:rPr>
          <w:sz w:val="22"/>
          <w:szCs w:val="22"/>
          <w:lang w:val="en-GB"/>
        </w:rPr>
      </w:pPr>
      <w:r>
        <w:rPr>
          <w:sz w:val="22"/>
          <w:szCs w:val="22"/>
          <w:lang w:val="en-GB"/>
        </w:rPr>
        <w:t xml:space="preserve">is currently working/has worked during the past 3 years as manager/team-leader </w:t>
      </w:r>
      <w:r w:rsidRPr="00D225CC">
        <w:rPr>
          <w:sz w:val="22"/>
          <w:szCs w:val="22"/>
          <w:lang w:val="en-GB"/>
        </w:rPr>
        <w:t>in fiel</w:t>
      </w:r>
      <w:r>
        <w:rPr>
          <w:sz w:val="22"/>
          <w:szCs w:val="22"/>
          <w:lang w:val="en-GB"/>
        </w:rPr>
        <w:t>ds related to this contract.</w:t>
      </w:r>
    </w:p>
    <w:p w14:paraId="05E75179" w14:textId="02E176BB"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w:t>
      </w:r>
      <w:r w:rsidR="006F5FD0" w:rsidRPr="000C66C3">
        <w:rPr>
          <w:sz w:val="22"/>
          <w:szCs w:val="22"/>
          <w:lang w:val="en-GB"/>
        </w:rPr>
        <w:t xml:space="preserve">and 6 of the </w:t>
      </w:r>
      <w:r w:rsidR="00994EA3" w:rsidRPr="000C66C3">
        <w:rPr>
          <w:sz w:val="22"/>
          <w:szCs w:val="22"/>
          <w:lang w:val="en-GB"/>
        </w:rPr>
        <w:t>tender</w:t>
      </w:r>
      <w:r w:rsidR="006F5FD0" w:rsidRPr="000C66C3">
        <w:rPr>
          <w:sz w:val="22"/>
          <w:szCs w:val="22"/>
          <w:lang w:val="en-GB"/>
        </w:rPr>
        <w:t xml:space="preserve"> form</w:t>
      </w:r>
      <w:r w:rsidR="00087A72" w:rsidRPr="000C66C3">
        <w:rPr>
          <w:sz w:val="22"/>
          <w:szCs w:val="22"/>
          <w:lang w:val="en-GB"/>
        </w:rPr>
        <w:t>)</w:t>
      </w:r>
      <w:r w:rsidR="00BE08EC" w:rsidRPr="000C66C3">
        <w:rPr>
          <w:sz w:val="22"/>
          <w:szCs w:val="22"/>
          <w:lang w:val="en-GB"/>
        </w:rPr>
        <w:t>. The reference period which will be taken into account will be the last three</w:t>
      </w:r>
      <w:r w:rsidR="00862885" w:rsidRPr="000C66C3">
        <w:rPr>
          <w:sz w:val="22"/>
          <w:szCs w:val="22"/>
          <w:lang w:val="en-GB"/>
        </w:rPr>
        <w:t xml:space="preserve"> years </w:t>
      </w:r>
      <w:r w:rsidR="00771F97" w:rsidRPr="000C66C3">
        <w:rPr>
          <w:sz w:val="22"/>
          <w:szCs w:val="22"/>
          <w:lang w:val="en-GB"/>
        </w:rPr>
        <w:t>preceding the</w:t>
      </w:r>
      <w:r w:rsidR="00BE08EC" w:rsidRPr="000C66C3">
        <w:rPr>
          <w:sz w:val="22"/>
          <w:szCs w:val="22"/>
          <w:lang w:val="en-GB"/>
        </w:rPr>
        <w:t xml:space="preserve"> submission deadline.</w:t>
      </w:r>
    </w:p>
    <w:p w14:paraId="41662C5A" w14:textId="77777777" w:rsidR="000C66C3" w:rsidRPr="00EE5F8D" w:rsidRDefault="000C66C3" w:rsidP="000C66C3">
      <w:pPr>
        <w:pStyle w:val="Blockquote"/>
        <w:ind w:left="1134" w:right="1"/>
        <w:jc w:val="both"/>
        <w:rPr>
          <w:b/>
          <w:sz w:val="22"/>
          <w:szCs w:val="22"/>
          <w:lang w:val="en-GB"/>
        </w:rPr>
      </w:pPr>
      <w:r>
        <w:rPr>
          <w:b/>
          <w:sz w:val="22"/>
          <w:szCs w:val="22"/>
          <w:lang w:val="en-GB"/>
        </w:rPr>
        <w:lastRenderedPageBreak/>
        <w:t>T</w:t>
      </w:r>
      <w:r w:rsidRPr="00EE5F8D">
        <w:rPr>
          <w:b/>
          <w:sz w:val="22"/>
          <w:szCs w:val="22"/>
          <w:lang w:val="en-GB"/>
        </w:rPr>
        <w:t>echnical criterion for legal and natural persons:</w:t>
      </w:r>
    </w:p>
    <w:p w14:paraId="1E9486A1" w14:textId="4275CA3F" w:rsidR="000C66C3" w:rsidRPr="00395881" w:rsidRDefault="000C66C3" w:rsidP="00395881">
      <w:pPr>
        <w:pStyle w:val="Blockquote"/>
        <w:numPr>
          <w:ilvl w:val="0"/>
          <w:numId w:val="34"/>
        </w:numPr>
        <w:tabs>
          <w:tab w:val="clear" w:pos="360"/>
        </w:tabs>
        <w:ind w:left="1560" w:right="26" w:hanging="426"/>
        <w:jc w:val="both"/>
        <w:rPr>
          <w:sz w:val="22"/>
          <w:szCs w:val="22"/>
          <w:lang w:val="en-GB"/>
        </w:rPr>
      </w:pPr>
      <w:r w:rsidRPr="00BE6B66">
        <w:rPr>
          <w:sz w:val="22"/>
          <w:szCs w:val="22"/>
          <w:lang w:val="en-GB"/>
        </w:rPr>
        <w:t>the tenderer has delivered supplies under at least one contrac</w:t>
      </w:r>
      <w:r w:rsidR="00395881">
        <w:rPr>
          <w:sz w:val="22"/>
          <w:szCs w:val="22"/>
          <w:lang w:val="en-GB"/>
        </w:rPr>
        <w:t xml:space="preserve">t with a budget of at least the </w:t>
      </w:r>
      <w:bookmarkStart w:id="14" w:name="_GoBack"/>
      <w:bookmarkEnd w:id="14"/>
      <w:r w:rsidRPr="00395881">
        <w:rPr>
          <w:sz w:val="22"/>
          <w:szCs w:val="22"/>
          <w:lang w:val="en-GB"/>
        </w:rPr>
        <w:t xml:space="preserve">budget of this contract in supply which was implemented during the following period: the past 3 (three) years before the submission deadline. Previous experience which caused breach of contract and termination by a contracting authority shall not be used as reference. </w:t>
      </w:r>
    </w:p>
    <w:p w14:paraId="1C32B668" w14:textId="73B2E2B2" w:rsidR="00E737B9" w:rsidRDefault="00CB2A5B" w:rsidP="00E737B9">
      <w:pPr>
        <w:pStyle w:val="Blockquote"/>
        <w:tabs>
          <w:tab w:val="left" w:pos="284"/>
        </w:tabs>
        <w:jc w:val="both"/>
        <w:rPr>
          <w:sz w:val="22"/>
          <w:szCs w:val="22"/>
          <w:lang w:val="en-GB"/>
        </w:rPr>
      </w:pPr>
      <w:r w:rsidRPr="00CB2A5B">
        <w:rPr>
          <w:sz w:val="22"/>
          <w:szCs w:val="22"/>
          <w:lang w:val="en-GB"/>
        </w:rPr>
        <w:t xml:space="preserve">This means that </w:t>
      </w:r>
      <w:r w:rsidR="007B4C91" w:rsidRPr="00CB2A5B">
        <w:rPr>
          <w:sz w:val="22"/>
          <w:szCs w:val="22"/>
          <w:lang w:val="en-GB"/>
        </w:rPr>
        <w:t>the contract</w:t>
      </w:r>
      <w:r w:rsidRPr="00CB2A5B">
        <w:rPr>
          <w:sz w:val="22"/>
          <w:szCs w:val="22"/>
          <w:lang w:val="en-GB"/>
        </w:rPr>
        <w:t xml:space="preserve">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44EB9151" w:rsidR="004F00C7" w:rsidRPr="00B33EE6" w:rsidRDefault="004F00C7" w:rsidP="00E737B9">
      <w:pPr>
        <w:pStyle w:val="Blockquote"/>
        <w:tabs>
          <w:tab w:val="left" w:pos="284"/>
        </w:tabs>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Gl"/>
          <w:sz w:val="22"/>
          <w:szCs w:val="22"/>
          <w:lang w:val="en-GB"/>
        </w:rPr>
        <w:t>17</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350FF2">
      <w:pPr>
        <w:rPr>
          <w:sz w:val="22"/>
          <w:szCs w:val="22"/>
          <w:lang w:val="en-GB"/>
        </w:rPr>
      </w:pPr>
      <w:r>
        <w:rPr>
          <w:snapToGrid/>
          <w:sz w:val="22"/>
          <w:szCs w:val="22"/>
          <w:lang w:val="en-GB"/>
        </w:rPr>
        <w:pict w14:anchorId="45BE0657">
          <v:line id="_x0000_s1026" alt="" style="position:absolute;z-index:5;mso-wrap-edited:f;mso-width-percent:0;mso-height-percent:0;mso-width-percent:0;mso-height-percent:0"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Gl"/>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Gl"/>
          <w:sz w:val="22"/>
          <w:szCs w:val="22"/>
          <w:lang w:val="en-GB"/>
        </w:rPr>
        <w:t>18</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 xml:space="preserve">Deadline for </w:t>
      </w:r>
      <w:r w:rsidR="0013314C">
        <w:rPr>
          <w:rStyle w:val="Gl"/>
          <w:sz w:val="22"/>
          <w:szCs w:val="22"/>
          <w:lang w:val="en-GB"/>
        </w:rPr>
        <w:t xml:space="preserve">submission </w:t>
      </w:r>
      <w:r w:rsidR="006F5FD0" w:rsidRPr="00B33EE6">
        <w:rPr>
          <w:rStyle w:val="Gl"/>
          <w:sz w:val="22"/>
          <w:szCs w:val="22"/>
          <w:lang w:val="en-GB"/>
        </w:rPr>
        <w:t xml:space="preserve">of </w:t>
      </w:r>
      <w:r w:rsidRPr="00B33EE6">
        <w:rPr>
          <w:rStyle w:val="Gl"/>
          <w:sz w:val="22"/>
          <w:szCs w:val="22"/>
          <w:lang w:val="en-GB"/>
        </w:rPr>
        <w:t>tenders</w:t>
      </w:r>
    </w:p>
    <w:p w14:paraId="61DD2F00" w14:textId="407281EB" w:rsidR="006F5FD0" w:rsidRPr="00B33EE6" w:rsidRDefault="00994EA3">
      <w:pPr>
        <w:pStyle w:val="Blockquote"/>
        <w:jc w:val="both"/>
        <w:rPr>
          <w:i/>
          <w:sz w:val="22"/>
          <w:szCs w:val="22"/>
          <w:lang w:val="en-GB"/>
        </w:rPr>
      </w:pPr>
      <w:r w:rsidRPr="00B33EE6">
        <w:rPr>
          <w:rStyle w:val="Vurgu"/>
          <w:i w:val="0"/>
          <w:sz w:val="22"/>
          <w:szCs w:val="22"/>
          <w:lang w:val="en-GB"/>
        </w:rPr>
        <w:t xml:space="preserve">The deadline for </w:t>
      </w:r>
      <w:r w:rsidR="0013314C">
        <w:rPr>
          <w:rStyle w:val="Vurgu"/>
          <w:i w:val="0"/>
          <w:sz w:val="22"/>
          <w:szCs w:val="22"/>
          <w:lang w:val="en-GB"/>
        </w:rPr>
        <w:t xml:space="preserve">submission </w:t>
      </w:r>
      <w:r w:rsidRPr="00B33EE6">
        <w:rPr>
          <w:rStyle w:val="Vurgu"/>
          <w:i w:val="0"/>
          <w:sz w:val="22"/>
          <w:szCs w:val="22"/>
          <w:lang w:val="en-GB"/>
        </w:rPr>
        <w:t xml:space="preserve">of tenders is </w:t>
      </w:r>
      <w:r w:rsidR="00E737B9">
        <w:rPr>
          <w:rStyle w:val="Vurgu"/>
          <w:i w:val="0"/>
          <w:sz w:val="22"/>
          <w:szCs w:val="22"/>
          <w:lang w:val="en-GB"/>
        </w:rPr>
        <w:t>23.02.2022/ 17:30h. (local time)</w:t>
      </w:r>
      <w:r w:rsidRPr="00B33EE6">
        <w:rPr>
          <w:rStyle w:val="Vurgu"/>
          <w:i w:val="0"/>
          <w:sz w:val="22"/>
          <w:szCs w:val="22"/>
          <w:lang w:val="en-GB"/>
        </w:rPr>
        <w:t>.</w:t>
      </w:r>
      <w:r w:rsidRPr="00B33EE6" w:rsidDel="00994EA3">
        <w:rPr>
          <w:rStyle w:val="Vurgu"/>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Gl"/>
          <w:sz w:val="22"/>
          <w:szCs w:val="22"/>
          <w:lang w:val="en-GB"/>
        </w:rPr>
        <w:t>19</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Tender </w:t>
      </w:r>
      <w:r w:rsidR="006F5FD0" w:rsidRPr="00B33EE6">
        <w:rPr>
          <w:rStyle w:val="Gl"/>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must be submitted using the standard </w:t>
      </w:r>
      <w:r w:rsidRPr="00B33EE6">
        <w:rPr>
          <w:rStyle w:val="Gl"/>
          <w:b w:val="0"/>
          <w:sz w:val="22"/>
          <w:szCs w:val="22"/>
          <w:lang w:val="en-GB"/>
        </w:rPr>
        <w:t>tender</w:t>
      </w:r>
      <w:r w:rsidR="006F5FD0" w:rsidRPr="00B33EE6">
        <w:rPr>
          <w:rStyle w:val="Gl"/>
          <w:b w:val="0"/>
          <w:sz w:val="22"/>
          <w:szCs w:val="22"/>
          <w:lang w:val="en-GB"/>
        </w:rPr>
        <w:t xml:space="preserve"> form</w:t>
      </w:r>
      <w:r w:rsidR="00771F85">
        <w:rPr>
          <w:rStyle w:val="Gl"/>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350FF2" w:rsidP="004D5EDB">
      <w:pPr>
        <w:pStyle w:val="Blockquote"/>
        <w:jc w:val="both"/>
        <w:rPr>
          <w:sz w:val="22"/>
          <w:szCs w:val="22"/>
          <w:lang w:val="en-GB"/>
        </w:rPr>
      </w:pPr>
      <w:hyperlink r:id="rId13" w:history="1">
        <w:r w:rsidR="00881C2D" w:rsidRPr="005B10FD">
          <w:rPr>
            <w:rStyle w:val="Kpr"/>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Gl"/>
          <w:sz w:val="22"/>
          <w:szCs w:val="22"/>
          <w:lang w:val="en-GB"/>
        </w:rPr>
        <w:lastRenderedPageBreak/>
        <w:t>2</w:t>
      </w:r>
      <w:r w:rsidR="006714ED" w:rsidRPr="00B33EE6">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How </w:t>
      </w:r>
      <w:r w:rsidR="006714ED" w:rsidRPr="00B33EE6">
        <w:rPr>
          <w:rStyle w:val="Gl"/>
          <w:sz w:val="22"/>
          <w:szCs w:val="22"/>
          <w:lang w:val="en-GB"/>
        </w:rPr>
        <w:t>tenders</w:t>
      </w:r>
      <w:r w:rsidRPr="00B33EE6">
        <w:rPr>
          <w:rStyle w:val="Gl"/>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Gl"/>
          <w:b w:val="0"/>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Gl"/>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Gl"/>
          <w:sz w:val="22"/>
          <w:szCs w:val="22"/>
          <w:lang w:val="en-GB"/>
        </w:rPr>
        <w:t>2</w:t>
      </w:r>
      <w:r w:rsidR="006714ED" w:rsidRPr="00B33EE6">
        <w:rPr>
          <w:rStyle w:val="Gl"/>
          <w:sz w:val="22"/>
          <w:szCs w:val="22"/>
          <w:lang w:val="en-GB"/>
        </w:rPr>
        <w:t>1</w:t>
      </w:r>
      <w:r w:rsidRPr="00B33EE6">
        <w:rPr>
          <w:rStyle w:val="Gl"/>
          <w:sz w:val="22"/>
          <w:szCs w:val="22"/>
          <w:lang w:val="en-GB"/>
        </w:rPr>
        <w:t>.</w:t>
      </w:r>
      <w:r w:rsidR="00584BF4" w:rsidRPr="00B33EE6">
        <w:rPr>
          <w:rStyle w:val="Gl"/>
          <w:sz w:val="22"/>
          <w:szCs w:val="22"/>
          <w:lang w:val="en-GB"/>
        </w:rPr>
        <w:tab/>
      </w:r>
      <w:r w:rsidRPr="00B33EE6">
        <w:rPr>
          <w:rStyle w:val="Gl"/>
          <w:sz w:val="22"/>
          <w:szCs w:val="22"/>
          <w:lang w:val="en-GB"/>
        </w:rPr>
        <w:t xml:space="preserve">Alteration or withdrawal of </w:t>
      </w:r>
      <w:r w:rsidR="006714ED" w:rsidRPr="00B33EE6">
        <w:rPr>
          <w:rStyle w:val="Gl"/>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Gl"/>
          <w:sz w:val="22"/>
          <w:szCs w:val="22"/>
          <w:lang w:val="en-GB"/>
        </w:rPr>
        <w:t>2</w:t>
      </w:r>
      <w:r w:rsidR="006714ED" w:rsidRPr="00B33EE6">
        <w:rPr>
          <w:rStyle w:val="Gl"/>
          <w:sz w:val="22"/>
          <w:szCs w:val="22"/>
          <w:lang w:val="en-GB"/>
        </w:rPr>
        <w:t>2</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Vurgu"/>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3629F4C3" w14:textId="02D6B9A1" w:rsidR="00E737B9" w:rsidRPr="008660AD" w:rsidRDefault="00E737B9" w:rsidP="00E737B9">
      <w:pPr>
        <w:widowControl/>
        <w:snapToGrid w:val="0"/>
        <w:spacing w:after="0"/>
        <w:ind w:left="284" w:right="360"/>
        <w:jc w:val="both"/>
        <w:rPr>
          <w:sz w:val="22"/>
          <w:szCs w:val="22"/>
          <w:lang w:val="en-GB"/>
        </w:rPr>
      </w:pPr>
      <w:r>
        <w:rPr>
          <w:sz w:val="22"/>
          <w:szCs w:val="22"/>
        </w:rPr>
        <w:t xml:space="preserve">Financial data to be provided by the candidate in the standard application form or the tenderer in the tender form must be expressed in EUR. If applicable, where a candidate refers to amounts originally expressed in a different currency, the conversion to EUR/ BGN  shall be made in accordance with the InforEuro exchange rate of February 2022, which can be found at the following address: </w:t>
      </w:r>
      <w:hyperlink r:id="rId14" w:history="1">
        <w:r w:rsidRPr="008660AD">
          <w:rPr>
            <w:rStyle w:val="Kpr"/>
            <w:sz w:val="22"/>
            <w:szCs w:val="22"/>
            <w:lang w:val="en-GB"/>
          </w:rPr>
          <w:t>http://ec.europa.eu/budget/graphs/inforeuro.html</w:t>
        </w:r>
      </w:hyperlink>
      <w:r w:rsidRPr="008660AD">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default" r:id="rId15"/>
      <w:footerReference w:type="defaul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2F937" w14:textId="77777777" w:rsidR="00350FF2" w:rsidRDefault="00350FF2">
      <w:r>
        <w:separator/>
      </w:r>
    </w:p>
  </w:endnote>
  <w:endnote w:type="continuationSeparator" w:id="0">
    <w:p w14:paraId="608FBA31" w14:textId="77777777" w:rsidR="00350FF2" w:rsidRDefault="00350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A2"/>
    <w:family w:val="modern"/>
    <w:pitch w:val="fixed"/>
    <w:sig w:usb0="E0002EFF" w:usb1="C0007843"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458B7287" w:rsidR="00EF0A8C" w:rsidRPr="00B33EE6" w:rsidRDefault="00E97A06" w:rsidP="00F9055E">
    <w:pPr>
      <w:pStyle w:val="AltBilgi"/>
      <w:tabs>
        <w:tab w:val="clear" w:pos="4320"/>
        <w:tab w:val="clear" w:pos="8640"/>
        <w:tab w:val="right" w:pos="9214"/>
      </w:tabs>
      <w:spacing w:before="120" w:after="0"/>
      <w:rPr>
        <w:b/>
        <w:sz w:val="20"/>
        <w:lang w:val="en-GB"/>
      </w:rPr>
    </w:pPr>
    <w:r>
      <w:rPr>
        <w:b/>
        <w:sz w:val="20"/>
      </w:rPr>
      <w:t>December</w:t>
    </w:r>
    <w:r w:rsidR="003670BA" w:rsidRPr="003670BA">
      <w:rPr>
        <w:b/>
        <w:sz w:val="20"/>
      </w:rPr>
      <w:t xml:space="preserve"> 202</w:t>
    </w:r>
    <w:r w:rsidR="000B14E4">
      <w:rPr>
        <w:b/>
        <w:sz w:val="20"/>
      </w:rPr>
      <w:t>1</w:t>
    </w:r>
    <w:r w:rsidR="00EF0A8C" w:rsidRPr="00B33EE6">
      <w:rPr>
        <w:sz w:val="18"/>
        <w:szCs w:val="18"/>
        <w:lang w:val="en-GB"/>
      </w:rPr>
      <w:tab/>
      <w:t xml:space="preserve">Page </w:t>
    </w:r>
    <w:r w:rsidR="00EF0A8C" w:rsidRPr="00B33EE6">
      <w:rPr>
        <w:rStyle w:val="SayfaNumaras"/>
        <w:sz w:val="18"/>
        <w:szCs w:val="18"/>
        <w:lang w:val="en-GB"/>
      </w:rPr>
      <w:fldChar w:fldCharType="begin"/>
    </w:r>
    <w:r w:rsidR="00EF0A8C" w:rsidRPr="00B33EE6">
      <w:rPr>
        <w:rStyle w:val="SayfaNumaras"/>
        <w:sz w:val="18"/>
        <w:szCs w:val="18"/>
        <w:lang w:val="en-GB"/>
      </w:rPr>
      <w:instrText xml:space="preserve"> PAGE </w:instrText>
    </w:r>
    <w:r w:rsidR="00EF0A8C" w:rsidRPr="00B33EE6">
      <w:rPr>
        <w:rStyle w:val="SayfaNumaras"/>
        <w:sz w:val="18"/>
        <w:szCs w:val="18"/>
        <w:lang w:val="en-GB"/>
      </w:rPr>
      <w:fldChar w:fldCharType="separate"/>
    </w:r>
    <w:r w:rsidR="00395881">
      <w:rPr>
        <w:rStyle w:val="SayfaNumaras"/>
        <w:noProof/>
        <w:sz w:val="18"/>
        <w:szCs w:val="18"/>
        <w:lang w:val="en-GB"/>
      </w:rPr>
      <w:t>2</w:t>
    </w:r>
    <w:r w:rsidR="00EF0A8C" w:rsidRPr="00B33EE6">
      <w:rPr>
        <w:rStyle w:val="SayfaNumaras"/>
        <w:sz w:val="18"/>
        <w:szCs w:val="18"/>
        <w:lang w:val="en-GB"/>
      </w:rPr>
      <w:fldChar w:fldCharType="end"/>
    </w:r>
    <w:r w:rsidR="00B33EE6" w:rsidRPr="00B33EE6">
      <w:rPr>
        <w:rStyle w:val="SayfaNumaras"/>
        <w:sz w:val="18"/>
        <w:szCs w:val="18"/>
        <w:lang w:val="en-GB"/>
      </w:rPr>
      <w:t xml:space="preserve"> of </w:t>
    </w:r>
    <w:r w:rsidR="00B33EE6" w:rsidRPr="00B33EE6">
      <w:rPr>
        <w:rStyle w:val="SayfaNumaras"/>
        <w:sz w:val="18"/>
        <w:szCs w:val="18"/>
        <w:lang w:val="en-GB"/>
      </w:rPr>
      <w:fldChar w:fldCharType="begin"/>
    </w:r>
    <w:r w:rsidR="00B33EE6" w:rsidRPr="00B33EE6">
      <w:rPr>
        <w:rStyle w:val="SayfaNumaras"/>
        <w:sz w:val="18"/>
        <w:szCs w:val="18"/>
        <w:lang w:val="en-GB"/>
      </w:rPr>
      <w:instrText xml:space="preserve"> NUMPAGES   \* MERGEFORMAT </w:instrText>
    </w:r>
    <w:r w:rsidR="00B33EE6" w:rsidRPr="00B33EE6">
      <w:rPr>
        <w:rStyle w:val="SayfaNumaras"/>
        <w:sz w:val="18"/>
        <w:szCs w:val="18"/>
        <w:lang w:val="en-GB"/>
      </w:rPr>
      <w:fldChar w:fldCharType="separate"/>
    </w:r>
    <w:r w:rsidR="00395881">
      <w:rPr>
        <w:rStyle w:val="SayfaNumaras"/>
        <w:noProof/>
        <w:sz w:val="18"/>
        <w:szCs w:val="18"/>
        <w:lang w:val="en-GB"/>
      </w:rPr>
      <w:t>6</w:t>
    </w:r>
    <w:r w:rsidR="00B33EE6" w:rsidRPr="00B33EE6">
      <w:rPr>
        <w:rStyle w:val="SayfaNumaras"/>
        <w:sz w:val="18"/>
        <w:szCs w:val="18"/>
        <w:lang w:val="en-GB"/>
      </w:rPr>
      <w:fldChar w:fldCharType="end"/>
    </w:r>
  </w:p>
  <w:p w14:paraId="77551F46" w14:textId="1F27A587" w:rsidR="00EF0A8C" w:rsidRPr="00B33EE6" w:rsidRDefault="00EF0A8C" w:rsidP="007727F3">
    <w:pPr>
      <w:pStyle w:val="AltBilgi"/>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04019" w14:textId="77777777" w:rsidR="00350FF2" w:rsidRDefault="00350FF2">
      <w:r>
        <w:separator/>
      </w:r>
    </w:p>
  </w:footnote>
  <w:footnote w:type="continuationSeparator" w:id="0">
    <w:p w14:paraId="747158BC" w14:textId="77777777" w:rsidR="00350FF2" w:rsidRDefault="00350F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1" w:type="dxa"/>
      <w:jc w:val="center"/>
      <w:tblLook w:val="04A0" w:firstRow="1" w:lastRow="0" w:firstColumn="1" w:lastColumn="0" w:noHBand="0" w:noVBand="1"/>
    </w:tblPr>
    <w:tblGrid>
      <w:gridCol w:w="3638"/>
      <w:gridCol w:w="3632"/>
      <w:gridCol w:w="2551"/>
    </w:tblGrid>
    <w:tr w:rsidR="000C66C3" w:rsidRPr="00DF43A1" w14:paraId="110A3E95" w14:textId="77777777" w:rsidTr="008C22B9">
      <w:trPr>
        <w:jc w:val="center"/>
      </w:trPr>
      <w:tc>
        <w:tcPr>
          <w:tcW w:w="3638" w:type="dxa"/>
          <w:shd w:val="clear" w:color="auto" w:fill="auto"/>
        </w:tcPr>
        <w:p w14:paraId="052877D4" w14:textId="76309A43" w:rsidR="000C66C3" w:rsidRPr="00DF43A1" w:rsidRDefault="00350FF2" w:rsidP="000C66C3">
          <w:pPr>
            <w:rPr>
              <w:rFonts w:ascii="Calibri" w:hAnsi="Calibri"/>
              <w:sz w:val="20"/>
            </w:rPr>
          </w:pPr>
          <w:r>
            <w:rPr>
              <w:rFonts w:ascii="Calibri" w:hAnsi="Calibri"/>
              <w:noProof/>
              <w:snapToGrid/>
              <w:sz w:val="20"/>
              <w:lang w:val="tr-TR" w:eastAsia="tr-TR"/>
            </w:rPr>
            <w:pict w14:anchorId="5249D9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6" o:spid="_x0000_i1025" type="#_x0000_t75" alt="" style="width:151.5pt;height:48.75pt;visibility:visible;mso-wrap-style:square;mso-width-percent:0;mso-height-percent:0;mso-width-percent:0;mso-height-percent:0">
                <v:imagedata r:id="rId1" o:title=""/>
                <o:lock v:ext="edit" aspectratio="f"/>
              </v:shape>
            </w:pict>
          </w:r>
        </w:p>
      </w:tc>
      <w:tc>
        <w:tcPr>
          <w:tcW w:w="3632" w:type="dxa"/>
          <w:vAlign w:val="center"/>
        </w:tcPr>
        <w:p w14:paraId="7C89AB78" w14:textId="77777777" w:rsidR="000C66C3" w:rsidRPr="00DF43A1" w:rsidRDefault="000C66C3" w:rsidP="000C66C3">
          <w:pPr>
            <w:spacing w:after="120"/>
            <w:jc w:val="center"/>
            <w:rPr>
              <w:i/>
              <w:noProof/>
              <w:sz w:val="20"/>
            </w:rPr>
          </w:pPr>
        </w:p>
      </w:tc>
      <w:tc>
        <w:tcPr>
          <w:tcW w:w="2551" w:type="dxa"/>
          <w:vAlign w:val="bottom"/>
        </w:tcPr>
        <w:p w14:paraId="48842848" w14:textId="734D8485" w:rsidR="000C66C3" w:rsidRPr="00DF43A1" w:rsidRDefault="000C66C3" w:rsidP="000C66C3">
          <w:pPr>
            <w:spacing w:after="120"/>
            <w:jc w:val="right"/>
            <w:rPr>
              <w:rFonts w:ascii="Calibri" w:hAnsi="Calibri" w:cs="Arial"/>
              <w:color w:val="7030A0"/>
              <w:sz w:val="20"/>
            </w:rPr>
          </w:pPr>
          <w:r w:rsidRPr="00DF43A1">
            <w:rPr>
              <w:rFonts w:ascii="Calibri" w:hAnsi="Calibri"/>
              <w:noProof/>
              <w:sz w:val="20"/>
            </w:rPr>
            <w:t xml:space="preserve">   </w:t>
          </w:r>
          <w:r w:rsidR="00350FF2">
            <w:rPr>
              <w:rFonts w:ascii="Calibri" w:hAnsi="Calibri"/>
              <w:noProof/>
              <w:snapToGrid/>
              <w:sz w:val="20"/>
              <w:lang w:val="tr-TR" w:eastAsia="tr-TR"/>
            </w:rPr>
            <w:pict w14:anchorId="576C5D8B">
              <v:shape id="Resim 7" o:spid="_x0000_i1026" type="#_x0000_t75" alt="çiçek içeren bir resim&#10;&#10;&#10;&#10;&#10;&#10;&#10;&#10;&#10;&#10;&#10;&#10;&#10;&#10;&#10;&#10;Açıklama otomatik olarak oluşturuldu" style="width:54.75pt;height:47.25pt;visibility:visible;mso-wrap-style:square;mso-width-percent:0;mso-height-percent:0;mso-width-percent:0;mso-height-percent:0">
                <v:imagedata r:id="rId2" o:title="çiçek içeren bir resim&#10;&#10;&#10;&#10;&#10;&#10;&#10;&#10;&#10;&#10;&#10;&#10;&#10;&#10;&#10;&#10;Açıklama otomatik olarak oluşturuldu"/>
                <o:lock v:ext="edit" aspectratio="f"/>
              </v:shape>
            </w:pict>
          </w:r>
        </w:p>
      </w:tc>
    </w:tr>
  </w:tbl>
  <w:p w14:paraId="510F873C" w14:textId="77777777" w:rsidR="000C66C3" w:rsidRPr="00DF43A1" w:rsidRDefault="000C66C3" w:rsidP="000C66C3">
    <w:pPr>
      <w:spacing w:after="0"/>
      <w:jc w:val="center"/>
      <w:rPr>
        <w:b/>
        <w:color w:val="002060"/>
        <w:sz w:val="20"/>
        <w:lang w:val="tr-TR" w:eastAsia="tr-TR"/>
      </w:rPr>
    </w:pPr>
    <w:r w:rsidRPr="00DF43A1">
      <w:rPr>
        <w:b/>
        <w:color w:val="002060"/>
        <w:sz w:val="20"/>
      </w:rPr>
      <w:t>Project “</w:t>
    </w:r>
    <w:r>
      <w:rPr>
        <w:b/>
        <w:color w:val="002060"/>
        <w:sz w:val="20"/>
        <w:shd w:val="clear" w:color="auto" w:fill="FFFFFF"/>
        <w:lang w:val="tr-TR" w:eastAsia="tr-TR"/>
      </w:rPr>
      <w:t>Cycling routes in Kirklareli and Tsarevo</w:t>
    </w:r>
    <w:r w:rsidRPr="00DF43A1">
      <w:rPr>
        <w:b/>
        <w:color w:val="002060"/>
        <w:sz w:val="20"/>
        <w:shd w:val="clear" w:color="auto" w:fill="FFFFFF"/>
        <w:lang w:val="tr-TR" w:eastAsia="tr-TR"/>
      </w:rPr>
      <w:t>.</w:t>
    </w:r>
    <w:r w:rsidRPr="00DF43A1">
      <w:rPr>
        <w:b/>
        <w:color w:val="002060"/>
        <w:sz w:val="20"/>
      </w:rPr>
      <w:t>"</w:t>
    </w:r>
  </w:p>
  <w:p w14:paraId="3C625838" w14:textId="710EBEFE" w:rsidR="000C66C3" w:rsidRPr="000C66C3" w:rsidRDefault="000C66C3" w:rsidP="000C66C3">
    <w:pPr>
      <w:pStyle w:val="stBilgi"/>
      <w:jc w:val="center"/>
      <w:rPr>
        <w:b/>
        <w:bCs/>
        <w:i/>
        <w:iCs/>
        <w:color w:val="002060"/>
      </w:rPr>
    </w:pPr>
    <w:r w:rsidRPr="00DF43A1">
      <w:rPr>
        <w:b/>
        <w:i/>
        <w:iCs/>
        <w:color w:val="002060"/>
        <w:sz w:val="20"/>
      </w:rPr>
      <w:t>Ref. No: CB005.2.2</w:t>
    </w:r>
    <w:r>
      <w:rPr>
        <w:b/>
        <w:i/>
        <w:iCs/>
        <w:color w:val="002060"/>
        <w:sz w:val="20"/>
      </w:rPr>
      <w:t>1</w:t>
    </w:r>
    <w:r w:rsidRPr="00DF43A1">
      <w:rPr>
        <w:b/>
        <w:i/>
        <w:iCs/>
        <w:color w:val="002060"/>
        <w:sz w:val="20"/>
      </w:rPr>
      <w:t>.0</w:t>
    </w:r>
    <w:r>
      <w:rPr>
        <w:b/>
        <w:i/>
        <w:iCs/>
        <w:color w:val="002060"/>
        <w:sz w:val="20"/>
      </w:rPr>
      <w:t>80</w:t>
    </w:r>
    <w:r w:rsidRPr="00DF43A1">
      <w:rPr>
        <w:b/>
        <w:bCs/>
        <w:i/>
        <w:iCs/>
        <w:color w:val="002060"/>
        <w:sz w:val="20"/>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FB10EB3"/>
    <w:multiLevelType w:val="multilevel"/>
    <w:tmpl w:val="53B4883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3"/>
  </w:num>
  <w:num w:numId="37">
    <w:abstractNumId w:val="38"/>
  </w:num>
  <w:num w:numId="38">
    <w:abstractNumId w:val="40"/>
  </w:num>
  <w:num w:numId="39">
    <w:abstractNumId w:val="44"/>
  </w:num>
  <w:num w:numId="40">
    <w:abstractNumId w:val="45"/>
  </w:num>
  <w:num w:numId="41">
    <w:abstractNumId w:val="41"/>
  </w:num>
  <w:num w:numId="42">
    <w:abstractNumId w:val="43"/>
  </w:num>
  <w:num w:numId="43">
    <w:abstractNumId w:val="39"/>
  </w:num>
  <w:num w:numId="44">
    <w:abstractNumId w:val="34"/>
  </w:num>
  <w:num w:numId="45">
    <w:abstractNumId w:val="46"/>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n-GB"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C66C3"/>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0FF2"/>
    <w:rsid w:val="003574F5"/>
    <w:rsid w:val="00357E25"/>
    <w:rsid w:val="00362824"/>
    <w:rsid w:val="00364564"/>
    <w:rsid w:val="003670BA"/>
    <w:rsid w:val="003717BC"/>
    <w:rsid w:val="003861D9"/>
    <w:rsid w:val="0038633F"/>
    <w:rsid w:val="00386E96"/>
    <w:rsid w:val="0038796E"/>
    <w:rsid w:val="0039147E"/>
    <w:rsid w:val="0039347D"/>
    <w:rsid w:val="003947E7"/>
    <w:rsid w:val="00395881"/>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65BB"/>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E7C"/>
    <w:rsid w:val="00710A38"/>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B4C91"/>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63B7D"/>
    <w:rsid w:val="009707C4"/>
    <w:rsid w:val="00970A93"/>
    <w:rsid w:val="00970B01"/>
    <w:rsid w:val="00971962"/>
    <w:rsid w:val="00971CC5"/>
    <w:rsid w:val="009730C5"/>
    <w:rsid w:val="00980AEA"/>
    <w:rsid w:val="00991002"/>
    <w:rsid w:val="00994EA3"/>
    <w:rsid w:val="009A38DE"/>
    <w:rsid w:val="009B06B5"/>
    <w:rsid w:val="009B5369"/>
    <w:rsid w:val="009B69BE"/>
    <w:rsid w:val="009E5BC1"/>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24F4F"/>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737B9"/>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qFormat/>
    <w:rsid w:val="007D6292"/>
    <w:pPr>
      <w:keepNext/>
      <w:widowControl/>
      <w:spacing w:before="120" w:after="120"/>
      <w:outlineLvl w:val="1"/>
    </w:pPr>
    <w:rPr>
      <w:rFonts w:ascii="Arial" w:hAnsi="Arial"/>
      <w:sz w:val="20"/>
      <w:lang w:val="fr-BE"/>
    </w:rPr>
  </w:style>
  <w:style w:type="paragraph" w:styleId="Balk4">
    <w:name w:val="heading 4"/>
    <w:basedOn w:val="Normal"/>
    <w:next w:val="Normal"/>
    <w:link w:val="Balk4Char"/>
    <w:semiHidden/>
    <w:unhideWhenUsed/>
    <w:qFormat/>
    <w:rsid w:val="009B5369"/>
    <w:pPr>
      <w:keepNext/>
      <w:spacing w:before="240" w:after="60"/>
      <w:outlineLvl w:val="3"/>
    </w:pPr>
    <w:rPr>
      <w:rFonts w:ascii="Calibri" w:hAnsi="Calibri"/>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link w:val="stBilgiChar"/>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basedOn w:val="Normal"/>
    <w:link w:val="DipnotMetniChar"/>
    <w:uiPriority w:val="99"/>
    <w:rsid w:val="001951FE"/>
    <w:rPr>
      <w:sz w:val="20"/>
    </w:rPr>
  </w:style>
  <w:style w:type="character" w:styleId="DipnotBavurusu">
    <w:name w:val="footnote reference"/>
    <w:uiPriority w:val="99"/>
    <w:qFormat/>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character" w:styleId="AklamaBavurusu">
    <w:name w:val="annotation reference"/>
    <w:rsid w:val="009B69BE"/>
    <w:rPr>
      <w:sz w:val="16"/>
      <w:szCs w:val="16"/>
    </w:rPr>
  </w:style>
  <w:style w:type="paragraph" w:styleId="AklamaMetni">
    <w:name w:val="annotation text"/>
    <w:basedOn w:val="Normal"/>
    <w:link w:val="AklamaMetniChar"/>
    <w:rsid w:val="009B69BE"/>
    <w:rPr>
      <w:sz w:val="20"/>
    </w:rPr>
  </w:style>
  <w:style w:type="character" w:customStyle="1" w:styleId="AklamaMetniChar">
    <w:name w:val="Açıklama Metni Char"/>
    <w:link w:val="AklamaMetni"/>
    <w:rsid w:val="009B69BE"/>
    <w:rPr>
      <w:snapToGrid w:val="0"/>
      <w:lang w:val="en-US" w:eastAsia="en-US"/>
    </w:rPr>
  </w:style>
  <w:style w:type="paragraph" w:styleId="AklamaKonusu">
    <w:name w:val="annotation subject"/>
    <w:basedOn w:val="AklamaMetni"/>
    <w:next w:val="AklamaMetni"/>
    <w:link w:val="AklamaKonusuChar"/>
    <w:rsid w:val="009B69BE"/>
    <w:rPr>
      <w:b/>
      <w:bCs/>
    </w:rPr>
  </w:style>
  <w:style w:type="character" w:customStyle="1" w:styleId="AklamaKonusuChar">
    <w:name w:val="Açıklama Konusu Char"/>
    <w:link w:val="AklamaKonusu"/>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Altyaz">
    <w:name w:val="Subtitle"/>
    <w:basedOn w:val="Normal"/>
    <w:link w:val="AltyazChar"/>
    <w:qFormat/>
    <w:rsid w:val="00A36F1C"/>
    <w:pPr>
      <w:widowControl/>
      <w:spacing w:before="0" w:after="0"/>
      <w:jc w:val="center"/>
    </w:pPr>
    <w:rPr>
      <w:b/>
      <w:snapToGrid/>
      <w:sz w:val="28"/>
      <w:lang w:val="fr-BE" w:eastAsia="en-GB"/>
    </w:rPr>
  </w:style>
  <w:style w:type="character" w:customStyle="1" w:styleId="AltyazChar">
    <w:name w:val="Altyazı Char"/>
    <w:link w:val="Altyaz"/>
    <w:rsid w:val="00A36F1C"/>
    <w:rPr>
      <w:b/>
      <w:sz w:val="28"/>
      <w:lang w:val="fr-BE"/>
    </w:rPr>
  </w:style>
  <w:style w:type="character" w:customStyle="1" w:styleId="DipnotMetniChar">
    <w:name w:val="Dipnot Metni Char"/>
    <w:link w:val="DipnotMetni"/>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eParagraf">
    <w:name w:val="List Paragraph"/>
    <w:basedOn w:val="Normal"/>
    <w:uiPriority w:val="34"/>
    <w:qFormat/>
    <w:rsid w:val="00B9793F"/>
    <w:pPr>
      <w:ind w:left="720"/>
    </w:pPr>
  </w:style>
  <w:style w:type="paragraph" w:styleId="Dzeltme">
    <w:name w:val="Revision"/>
    <w:hidden/>
    <w:uiPriority w:val="99"/>
    <w:semiHidden/>
    <w:rsid w:val="00D97139"/>
    <w:rPr>
      <w:snapToGrid w:val="0"/>
      <w:sz w:val="24"/>
      <w:lang w:val="en-US" w:eastAsia="en-US"/>
    </w:rPr>
  </w:style>
  <w:style w:type="character" w:customStyle="1" w:styleId="Balk4Char">
    <w:name w:val="Başlık 4 Char"/>
    <w:link w:val="Balk4"/>
    <w:semiHidden/>
    <w:rsid w:val="009B5369"/>
    <w:rPr>
      <w:rFonts w:ascii="Calibri" w:eastAsia="Times New Roman" w:hAnsi="Calibri" w:cs="Times New Roman"/>
      <w:b/>
      <w:bCs/>
      <w:snapToGrid w:val="0"/>
      <w:sz w:val="28"/>
      <w:szCs w:val="28"/>
      <w:lang w:val="en-US" w:eastAsia="en-US"/>
    </w:rPr>
  </w:style>
  <w:style w:type="character" w:customStyle="1" w:styleId="stBilgiChar">
    <w:name w:val="Üst Bilgi Char"/>
    <w:link w:val="stBilgi"/>
    <w:rsid w:val="000C66C3"/>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uropeaid/prag/annexes.do?chapterTitleCode=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irklareliilozelidaresi.gov.t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jectoffice39@gmail.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budget/graphs/inforeuro.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E730D-BD79-49AF-B1EE-D31F7B0DBC89}">
  <ds:schemaRefs>
    <ds:schemaRef ds:uri="http://schemas.microsoft.com/sharepoint/v3/contenttype/forms"/>
  </ds:schemaRefs>
</ds:datastoreItem>
</file>

<file path=customXml/itemProps2.xml><?xml version="1.0" encoding="utf-8"?>
<ds:datastoreItem xmlns:ds="http://schemas.openxmlformats.org/officeDocument/2006/customXml" ds:itemID="{C01F0F46-1B6C-4563-ACCC-1F69215ED8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F378D63-4EAE-426A-A061-F0B1EEEE81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870422-D264-4391-970F-B115147F5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6</Pages>
  <Words>1788</Words>
  <Characters>10192</Characters>
  <Application>Microsoft Office Word</Application>
  <DocSecurity>0</DocSecurity>
  <Lines>84</Lines>
  <Paragraphs>23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11957</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IBC39EYIGITM</cp:lastModifiedBy>
  <cp:revision>12</cp:revision>
  <cp:lastPrinted>2016-05-31T08:36:00Z</cp:lastPrinted>
  <dcterms:created xsi:type="dcterms:W3CDTF">2021-06-23T07:58:00Z</dcterms:created>
  <dcterms:modified xsi:type="dcterms:W3CDTF">2022-01-24T09:27:00Z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