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97B70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911586C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979EDD1" w14:textId="77777777"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5A548C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0E71DE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D7294D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FC59E60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437C6D">
        <w:rPr>
          <w:rFonts w:ascii="Times New Roman" w:hAnsi="Times New Roman"/>
          <w:b w:val="0"/>
          <w:sz w:val="28"/>
          <w:szCs w:val="28"/>
        </w:rPr>
        <w:t xml:space="preserve"> </w:t>
      </w:r>
      <w:r w:rsidRPr="00437C6D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437C6D">
        <w:rPr>
          <w:rFonts w:ascii="Times New Roman" w:hAnsi="Times New Roman"/>
          <w:sz w:val="28"/>
          <w:szCs w:val="28"/>
        </w:rPr>
        <w:t>&gt;</w:t>
      </w:r>
    </w:p>
    <w:p w14:paraId="5B59BCA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CA6AB7C" w14:textId="48AD6096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g</w:t>
      </w:r>
      <w:r w:rsidRPr="00437C6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437C6D">
        <w:rPr>
          <w:rFonts w:ascii="Times New Roman" w:hAnsi="Times New Roman"/>
          <w:b/>
          <w:smallCaps/>
          <w:sz w:val="28"/>
          <w:lang w:val="en-GB"/>
        </w:rPr>
        <w:t>b</w:t>
      </w:r>
      <w:r w:rsidRPr="00437C6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E2B98DE" w14:textId="77777777" w:rsidR="00437C6D" w:rsidRPr="009D2E19" w:rsidRDefault="00437C6D" w:rsidP="00437C6D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 xml:space="preserve">Municipality of </w:t>
      </w:r>
      <w:proofErr w:type="spellStart"/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Suloglu</w:t>
      </w:r>
      <w:proofErr w:type="spellEnd"/>
    </w:p>
    <w:p w14:paraId="59945A3C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Address: Republic of Turkey, 22560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Suloglu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, Merkez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Mah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Kemalbalıkesir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Cad. No.46</w:t>
      </w:r>
    </w:p>
    <w:p w14:paraId="2B56849E" w14:textId="77777777" w:rsidR="00437C6D" w:rsidRPr="009D2E19" w:rsidRDefault="00437C6D" w:rsidP="00437C6D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14:paraId="410D6799" w14:textId="675AFB39" w:rsidR="00AB471B" w:rsidRPr="009B30FB" w:rsidRDefault="00437C6D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Represented by Mehmet </w:t>
      </w:r>
      <w:proofErr w:type="spellStart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Ormankiran</w:t>
      </w:r>
      <w:proofErr w:type="spellEnd"/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, Mayor</w:t>
      </w:r>
    </w:p>
    <w:p w14:paraId="3A4C313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8092CF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0F416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B4D9477" w14:textId="77777777" w:rsidR="00B90C14" w:rsidRPr="00437C6D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437C6D">
        <w:rPr>
          <w:rFonts w:ascii="Times New Roman" w:hAnsi="Times New Roman"/>
          <w:sz w:val="22"/>
          <w:szCs w:val="22"/>
          <w:lang w:val="en-GB"/>
        </w:rPr>
        <w:t>n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437C6D">
        <w:rPr>
          <w:rFonts w:ascii="Times New Roman" w:hAnsi="Times New Roman"/>
          <w:sz w:val="22"/>
          <w:szCs w:val="22"/>
          <w:lang w:val="en-GB"/>
        </w:rPr>
        <w:t>c</w:t>
      </w:r>
      <w:r w:rsidRPr="00437C6D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1A4576F8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ad"/>
          <w:rFonts w:ascii="Times New Roman" w:hAnsi="Times New Roman"/>
          <w:sz w:val="22"/>
          <w:szCs w:val="22"/>
          <w:lang w:val="en-GB"/>
        </w:rPr>
        <w:footnoteReference w:id="1"/>
      </w:r>
    </w:p>
    <w:p w14:paraId="75F1C48F" w14:textId="77777777" w:rsidR="00B90C14" w:rsidRPr="00437C6D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ad"/>
          <w:rFonts w:ascii="Times New Roman" w:hAnsi="Times New Roman"/>
          <w:sz w:val="22"/>
          <w:szCs w:val="22"/>
          <w:lang w:val="en-GB"/>
        </w:rPr>
        <w:footnoteReference w:id="2"/>
      </w:r>
    </w:p>
    <w:p w14:paraId="570E9231" w14:textId="77777777" w:rsidR="00B90C14" w:rsidRPr="00437C6D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437C6D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437C6D">
        <w:rPr>
          <w:rFonts w:ascii="Times New Roman" w:hAnsi="Times New Roman"/>
          <w:sz w:val="22"/>
          <w:szCs w:val="22"/>
          <w:lang w:val="en-GB"/>
        </w:rPr>
        <w:t>&gt;</w:t>
      </w:r>
    </w:p>
    <w:p w14:paraId="650B3F8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437C6D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&lt;</w:t>
      </w:r>
      <w:r w:rsidRPr="00437C6D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437C6D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437C6D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437C6D">
        <w:rPr>
          <w:rFonts w:ascii="Times New Roman" w:hAnsi="Times New Roman"/>
          <w:sz w:val="22"/>
          <w:szCs w:val="22"/>
          <w:lang w:val="en-GB"/>
        </w:rPr>
        <w:t>,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B914D86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057F6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9A9D06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B9CCCF0" w14:textId="77777777" w:rsidR="00437C6D" w:rsidRPr="009D2E19" w:rsidRDefault="00437C6D" w:rsidP="00437C6D">
      <w:pPr>
        <w:spacing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„Suloglu and Sozopol – Informed, Trained, Equipped“</w:t>
      </w:r>
    </w:p>
    <w:p w14:paraId="396EE456" w14:textId="77777777" w:rsidR="00437C6D" w:rsidRPr="009D2E19" w:rsidRDefault="00437C6D" w:rsidP="00437C6D">
      <w:pPr>
        <w:spacing w:before="0" w:after="0"/>
        <w:jc w:val="center"/>
        <w:rPr>
          <w:rFonts w:ascii="Times New Roman" w:hAnsi="Times New Roman"/>
          <w:iCs/>
          <w:noProof/>
          <w:snapToGrid/>
          <w:sz w:val="28"/>
          <w:szCs w:val="28"/>
          <w:lang w:val="en-GB" w:eastAsia="en-GB"/>
        </w:rPr>
      </w:pPr>
      <w:r w:rsidRPr="009D2E19">
        <w:rPr>
          <w:rFonts w:ascii="Times New Roman" w:hAnsi="Times New Roman"/>
          <w:iCs/>
          <w:noProof/>
          <w:snapToGrid/>
          <w:sz w:val="28"/>
          <w:szCs w:val="28"/>
          <w:lang w:val="en-GB" w:eastAsia="en-GB"/>
        </w:rPr>
        <w:t>(</w:t>
      </w: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CB005.2.11.035: Subsidy Contract</w:t>
      </w:r>
      <w:r w:rsidRPr="009D2E19">
        <w:rPr>
          <w:rFonts w:ascii="Times New Roman" w:hAnsi="Times New Roman"/>
          <w:snapToGrid/>
          <w:sz w:val="24"/>
          <w:lang w:val="en-GB" w:eastAsia="en-GB"/>
        </w:rPr>
        <w:t xml:space="preserve"> </w:t>
      </w: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РД 02-29-188/23.07.2019)</w:t>
      </w:r>
    </w:p>
    <w:p w14:paraId="6E3A8637" w14:textId="77777777" w:rsidR="00437C6D" w:rsidRPr="009D2E19" w:rsidRDefault="00437C6D" w:rsidP="00437C6D">
      <w:pPr>
        <w:spacing w:before="0"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or “Joint nature protection”</w:t>
      </w:r>
    </w:p>
    <w:p w14:paraId="563BD70D" w14:textId="77777777" w:rsidR="00437C6D" w:rsidRPr="009D2E19" w:rsidRDefault="00437C6D" w:rsidP="00437C6D">
      <w:pPr>
        <w:spacing w:before="0" w:after="0"/>
        <w:jc w:val="center"/>
        <w:rPr>
          <w:rFonts w:ascii="Times New Roman" w:hAnsi="Times New Roman"/>
          <w:iCs/>
          <w:noProof/>
          <w:snapToGrid/>
          <w:sz w:val="28"/>
          <w:szCs w:val="28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(CB005.2.12.116: Subsidy Contract: РД 02-29-236/13.09.2019)</w:t>
      </w:r>
    </w:p>
    <w:p w14:paraId="15272108" w14:textId="77777777" w:rsidR="00437C6D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79129CDB" w14:textId="1B723D2C" w:rsidR="004D2FD8" w:rsidRPr="007B70EE" w:rsidRDefault="00437C6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“Delivery of specialized vehicles”</w:t>
      </w:r>
    </w:p>
    <w:p w14:paraId="5A18737F" w14:textId="1D9ADDB0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37C6D" w:rsidRPr="00437C6D">
        <w:rPr>
          <w:rFonts w:ascii="Times New Roman" w:hAnsi="Times New Roman"/>
          <w:sz w:val="22"/>
          <w:lang w:val="en-GB"/>
        </w:rPr>
        <w:t>035-116-SUPPLY-Suloglu-06</w:t>
      </w:r>
    </w:p>
    <w:p w14:paraId="7713A56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7BC56B3" w14:textId="60D56360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437C6D">
        <w:rPr>
          <w:rFonts w:ascii="Times New Roman" w:hAnsi="Times New Roman"/>
          <w:sz w:val="22"/>
          <w:lang w:val="en-GB"/>
        </w:rPr>
        <w:t xml:space="preserve">the </w:t>
      </w:r>
      <w:r w:rsidR="00D5158D" w:rsidRPr="00437C6D">
        <w:rPr>
          <w:rFonts w:ascii="Times New Roman" w:hAnsi="Times New Roman"/>
          <w:sz w:val="22"/>
          <w:lang w:val="en-GB"/>
        </w:rPr>
        <w:t>supply</w:t>
      </w:r>
      <w:r w:rsidRPr="00437C6D">
        <w:rPr>
          <w:rFonts w:ascii="Times New Roman" w:hAnsi="Times New Roman"/>
          <w:sz w:val="22"/>
          <w:lang w:val="en-GB"/>
        </w:rPr>
        <w:t>, delivery</w:t>
      </w:r>
      <w:r w:rsidR="00437C6D" w:rsidRPr="00437C6D">
        <w:rPr>
          <w:rFonts w:ascii="Times New Roman" w:hAnsi="Times New Roman"/>
          <w:sz w:val="22"/>
          <w:lang w:val="en-GB"/>
        </w:rPr>
        <w:t xml:space="preserve"> and </w:t>
      </w:r>
      <w:r w:rsidR="00BC7B0D" w:rsidRPr="00437C6D">
        <w:rPr>
          <w:rFonts w:ascii="Times New Roman" w:hAnsi="Times New Roman"/>
          <w:sz w:val="22"/>
          <w:lang w:val="en-GB"/>
        </w:rPr>
        <w:t>unloading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502FFECF" w14:textId="77777777" w:rsidR="00437C6D" w:rsidRPr="00070B7E" w:rsidRDefault="00437C6D" w:rsidP="00437C6D">
      <w:pPr>
        <w:ind w:left="567"/>
        <w:jc w:val="both"/>
        <w:rPr>
          <w:rFonts w:ascii="Times New Roman" w:hAnsi="Times New Roman"/>
          <w:i/>
          <w:iCs/>
          <w:sz w:val="22"/>
          <w:u w:val="single"/>
        </w:rPr>
      </w:pPr>
      <w:r w:rsidRPr="00070B7E">
        <w:rPr>
          <w:rFonts w:ascii="Times New Roman" w:hAnsi="Times New Roman"/>
          <w:i/>
          <w:iCs/>
          <w:sz w:val="22"/>
          <w:u w:val="single"/>
        </w:rPr>
        <w:t>LOT 1: CB005.2.11.035 Supply of specialized vehicles</w:t>
      </w:r>
    </w:p>
    <w:p w14:paraId="5C4F2231" w14:textId="77777777" w:rsidR="00437C6D" w:rsidRDefault="00437C6D" w:rsidP="00437C6D">
      <w:pPr>
        <w:pStyle w:val="af4"/>
        <w:numPr>
          <w:ilvl w:val="0"/>
          <w:numId w:val="40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Specialized 4x4 off-road pickup double-cab vehicle with f</w:t>
      </w:r>
      <w:r w:rsidRPr="00CB4F17">
        <w:rPr>
          <w:rFonts w:ascii="Times New Roman" w:hAnsi="Times New Roman"/>
        </w:rPr>
        <w:t>ixed towing equipment</w:t>
      </w:r>
      <w:r>
        <w:rPr>
          <w:rFonts w:ascii="Times New Roman" w:hAnsi="Times New Roman"/>
        </w:rPr>
        <w:t>, winch, top lamp and siren announcing portable system – 1 item;</w:t>
      </w:r>
    </w:p>
    <w:p w14:paraId="62DF8738" w14:textId="77777777" w:rsidR="00437C6D" w:rsidRPr="003D15B3" w:rsidRDefault="00437C6D" w:rsidP="00437C6D">
      <w:pPr>
        <w:pStyle w:val="af4"/>
        <w:numPr>
          <w:ilvl w:val="0"/>
          <w:numId w:val="40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Specialized 4x4 off-road vehicle with top lamp and siren announcing portable system – 1 item.</w:t>
      </w:r>
    </w:p>
    <w:p w14:paraId="34534BE2" w14:textId="77777777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LOT 2: CB005.2.12.116 Supply of excavator</w:t>
      </w:r>
    </w:p>
    <w:p w14:paraId="7A92DD16" w14:textId="77777777" w:rsidR="00437C6D" w:rsidRPr="00070B7E" w:rsidRDefault="00437C6D" w:rsidP="00437C6D">
      <w:pPr>
        <w:pStyle w:val="af4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070B7E">
        <w:rPr>
          <w:rFonts w:ascii="Times New Roman" w:hAnsi="Times New Roman"/>
        </w:rPr>
        <w:t>Excavator – 1 item</w:t>
      </w:r>
    </w:p>
    <w:p w14:paraId="6F3899D6" w14:textId="77777777" w:rsidR="00437C6D" w:rsidRDefault="00437C6D" w:rsidP="00437C6D">
      <w:pPr>
        <w:ind w:left="540"/>
        <w:jc w:val="both"/>
        <w:rPr>
          <w:rFonts w:ascii="Times New Roman" w:hAnsi="Times New Roman"/>
          <w:i/>
          <w:iCs/>
          <w:sz w:val="22"/>
          <w:szCs w:val="22"/>
          <w:u w:val="single"/>
        </w:rPr>
      </w:pPr>
      <w:r w:rsidRPr="00070B7E">
        <w:rPr>
          <w:rFonts w:ascii="Times New Roman" w:hAnsi="Times New Roman"/>
          <w:i/>
          <w:iCs/>
          <w:sz w:val="22"/>
          <w:szCs w:val="22"/>
          <w:u w:val="single"/>
        </w:rPr>
        <w:t>LOT 3: CB005.2.12.116 Supply of light dumper truck</w:t>
      </w:r>
    </w:p>
    <w:p w14:paraId="6972A8E4" w14:textId="77777777" w:rsidR="00437C6D" w:rsidRPr="00070B7E" w:rsidRDefault="00437C6D" w:rsidP="00437C6D">
      <w:pPr>
        <w:pStyle w:val="af4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i/>
          <w:iCs/>
          <w:u w:val="single"/>
        </w:rPr>
      </w:pPr>
      <w:r>
        <w:rPr>
          <w:rFonts w:ascii="Times New Roman" w:hAnsi="Times New Roman"/>
        </w:rPr>
        <w:t>Light dumper truck for carrying of soil, sand, etc. – 1 item</w:t>
      </w:r>
    </w:p>
    <w:p w14:paraId="41494FFC" w14:textId="18F172DF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37C6D" w:rsidRPr="00FB4AD5">
        <w:rPr>
          <w:rFonts w:ascii="Times New Roman" w:hAnsi="Times New Roman"/>
          <w:sz w:val="22"/>
        </w:rPr>
        <w:t xml:space="preserve">the premises of the </w:t>
      </w:r>
      <w:r w:rsidR="00437C6D" w:rsidRPr="00070B7E">
        <w:rPr>
          <w:rFonts w:ascii="Times New Roman" w:hAnsi="Times New Roman"/>
          <w:sz w:val="22"/>
        </w:rPr>
        <w:t>Municipality of Suloglu,</w:t>
      </w:r>
      <w:r w:rsidR="00437C6D">
        <w:rPr>
          <w:rFonts w:ascii="Times New Roman" w:hAnsi="Times New Roman"/>
          <w:b/>
          <w:bCs/>
          <w:sz w:val="22"/>
        </w:rPr>
        <w:t xml:space="preserve"> </w:t>
      </w:r>
      <w:r w:rsidR="00437C6D" w:rsidRPr="00FB4AD5">
        <w:rPr>
          <w:rFonts w:ascii="Times New Roman" w:hAnsi="Times New Roman"/>
          <w:sz w:val="22"/>
        </w:rPr>
        <w:t>Merkez Mah. Kemalbalıkesir Cad. No.46</w:t>
      </w:r>
      <w:r w:rsidR="00437C6D">
        <w:rPr>
          <w:rFonts w:ascii="Times New Roman" w:hAnsi="Times New Roman"/>
          <w:sz w:val="22"/>
        </w:rPr>
        <w:t xml:space="preserve">, </w:t>
      </w:r>
      <w:r w:rsidR="00437C6D" w:rsidRPr="00FB4AD5">
        <w:rPr>
          <w:rFonts w:ascii="Times New Roman" w:hAnsi="Times New Roman"/>
          <w:sz w:val="22"/>
        </w:rPr>
        <w:t>Suloglu 22560, Edirne, Turkey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37C6D">
        <w:rPr>
          <w:rFonts w:ascii="Times New Roman" w:hAnsi="Times New Roman"/>
          <w:sz w:val="22"/>
          <w:lang w:val="en-GB"/>
        </w:rPr>
        <w:t xml:space="preserve">120 days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437C6D">
        <w:rPr>
          <w:rFonts w:ascii="Times New Roman" w:hAnsi="Times New Roman"/>
          <w:sz w:val="22"/>
          <w:lang w:val="en-GB"/>
        </w:rPr>
        <w:t>be DDP</w:t>
      </w:r>
      <w:r w:rsidR="00E2190B" w:rsidRPr="00A940DC">
        <w:rPr>
          <w:rStyle w:val="ad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437C6D">
        <w:rPr>
          <w:rFonts w:ascii="Times New Roman" w:hAnsi="Times New Roman"/>
          <w:sz w:val="22"/>
          <w:lang w:val="en-GB"/>
        </w:rPr>
        <w:t>the date of contract signature by both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437C6D">
        <w:rPr>
          <w:rFonts w:ascii="Times New Roman" w:hAnsi="Times New Roman"/>
          <w:sz w:val="22"/>
          <w:lang w:val="en-GB"/>
        </w:rPr>
        <w:t xml:space="preserve">the </w:t>
      </w:r>
      <w:r w:rsidR="00073C0E"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48E496B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43349C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EA202A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84D8734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0148C6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FEE838C" w14:textId="1E5550B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437C6D" w:rsidRPr="00437C6D">
        <w:rPr>
          <w:rFonts w:ascii="Times New Roman" w:hAnsi="Times New Roman"/>
          <w:sz w:val="22"/>
          <w:lang w:val="en-GB"/>
        </w:rPr>
        <w:t xml:space="preserve">……………. </w:t>
      </w:r>
      <w:r w:rsidR="001E684B" w:rsidRPr="00437C6D">
        <w:rPr>
          <w:rFonts w:ascii="Times New Roman" w:hAnsi="Times New Roman"/>
          <w:sz w:val="22"/>
          <w:lang w:val="en-GB"/>
        </w:rPr>
        <w:t>EUR</w:t>
      </w:r>
      <w:r w:rsidR="00437C6D" w:rsidRPr="00437C6D">
        <w:rPr>
          <w:rFonts w:ascii="Times New Roman" w:hAnsi="Times New Roman"/>
          <w:sz w:val="22"/>
          <w:lang w:val="en-GB"/>
        </w:rPr>
        <w:t>.</w:t>
      </w:r>
    </w:p>
    <w:p w14:paraId="5C3980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50A6AF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BB5E10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B8630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5F1BF2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64002F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BF24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EE3A31" w14:textId="77777777" w:rsidR="00187253" w:rsidRPr="00437C6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437C6D">
        <w:rPr>
          <w:rFonts w:ascii="Times New Roman" w:hAnsi="Times New Roman"/>
          <w:sz w:val="22"/>
          <w:lang w:val="en-GB"/>
        </w:rPr>
        <w:t>[</w:t>
      </w:r>
      <w:r w:rsidRPr="00437C6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37C6D"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437C6D">
        <w:rPr>
          <w:rFonts w:ascii="Times New Roman" w:hAnsi="Times New Roman"/>
          <w:sz w:val="22"/>
          <w:lang w:val="en-GB"/>
        </w:rPr>
        <w:t>]</w:t>
      </w:r>
      <w:r w:rsidR="00B202BC" w:rsidRPr="00437C6D">
        <w:rPr>
          <w:rFonts w:ascii="Times New Roman" w:hAnsi="Times New Roman"/>
          <w:sz w:val="22"/>
          <w:lang w:val="en-GB"/>
        </w:rPr>
        <w:t>)</w:t>
      </w:r>
      <w:r w:rsidRPr="00437C6D">
        <w:rPr>
          <w:rFonts w:ascii="Times New Roman" w:hAnsi="Times New Roman"/>
          <w:sz w:val="22"/>
          <w:lang w:val="en-GB"/>
        </w:rPr>
        <w:t>;</w:t>
      </w:r>
    </w:p>
    <w:p w14:paraId="013B38A1" w14:textId="77777777" w:rsidR="004D2FD8" w:rsidRPr="00437C6D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>the budget breakdown (Annex</w:t>
      </w:r>
      <w:r w:rsidR="00063C56" w:rsidRPr="00437C6D">
        <w:rPr>
          <w:rFonts w:ascii="Times New Roman" w:hAnsi="Times New Roman"/>
          <w:sz w:val="22"/>
          <w:lang w:val="en-GB"/>
        </w:rPr>
        <w:t xml:space="preserve"> IV</w:t>
      </w:r>
      <w:r w:rsidRPr="00437C6D">
        <w:rPr>
          <w:rFonts w:ascii="Times New Roman" w:hAnsi="Times New Roman"/>
          <w:sz w:val="22"/>
          <w:lang w:val="en-GB"/>
        </w:rPr>
        <w:t>);</w:t>
      </w:r>
    </w:p>
    <w:p w14:paraId="57F82F42" w14:textId="73BFFD7A" w:rsidR="00B80DE8" w:rsidRPr="00437C6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37C6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37C6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37C6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37C6D">
        <w:rPr>
          <w:rFonts w:ascii="Times New Roman" w:hAnsi="Times New Roman"/>
          <w:sz w:val="22"/>
          <w:lang w:val="en-GB"/>
        </w:rPr>
        <w:t>)</w:t>
      </w:r>
      <w:r w:rsidR="00B80DE8" w:rsidRPr="00437C6D">
        <w:rPr>
          <w:rFonts w:ascii="Times New Roman" w:hAnsi="Times New Roman"/>
          <w:sz w:val="22"/>
          <w:lang w:val="en-GB"/>
        </w:rPr>
        <w:t>;</w:t>
      </w:r>
    </w:p>
    <w:p w14:paraId="6739EEB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487AB7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030B450" w14:textId="56320112" w:rsidR="007A4C4D" w:rsidRPr="00462120" w:rsidRDefault="00437C6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078225C7" w14:textId="2DFF337C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1C71E6">
        <w:rPr>
          <w:rFonts w:ascii="Times New Roman" w:hAnsi="Times New Roman"/>
          <w:sz w:val="22"/>
          <w:szCs w:val="22"/>
          <w:lang w:val="en-GB"/>
        </w:rPr>
        <w:t>tw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o </w:t>
      </w:r>
      <w:r w:rsidRPr="001C71E6">
        <w:rPr>
          <w:rFonts w:ascii="Times New Roman" w:hAnsi="Times New Roman"/>
          <w:sz w:val="22"/>
          <w:szCs w:val="22"/>
          <w:lang w:val="en-GB"/>
        </w:rPr>
        <w:t>originals,</w:t>
      </w:r>
      <w:r w:rsidR="00437C6D" w:rsidRPr="001C71E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1C71E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1C71E6">
        <w:rPr>
          <w:rFonts w:ascii="Times New Roman" w:hAnsi="Times New Roman"/>
          <w:sz w:val="22"/>
          <w:lang w:val="en-GB"/>
        </w:rPr>
        <w:t>c</w:t>
      </w:r>
      <w:r w:rsidRPr="001C71E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C71E6">
        <w:rPr>
          <w:rFonts w:ascii="Times New Roman" w:hAnsi="Times New Roman"/>
          <w:sz w:val="22"/>
          <w:lang w:val="en-GB"/>
        </w:rPr>
        <w:t>a</w:t>
      </w:r>
      <w:r w:rsidRPr="001C71E6">
        <w:rPr>
          <w:rFonts w:ascii="Times New Roman" w:hAnsi="Times New Roman"/>
          <w:sz w:val="22"/>
          <w:lang w:val="en-GB"/>
        </w:rPr>
        <w:t>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6EFE610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1219"/>
        <w:gridCol w:w="2610"/>
      </w:tblGrid>
      <w:tr w:rsidR="004D2FD8" w:rsidRPr="007B70EE" w14:paraId="528C183B" w14:textId="77777777" w:rsidTr="001C71E6">
        <w:trPr>
          <w:trHeight w:val="520"/>
        </w:trPr>
        <w:tc>
          <w:tcPr>
            <w:tcW w:w="4253" w:type="dxa"/>
            <w:gridSpan w:val="2"/>
          </w:tcPr>
          <w:p w14:paraId="5C59B214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3829" w:type="dxa"/>
            <w:gridSpan w:val="2"/>
          </w:tcPr>
          <w:p w14:paraId="781180EE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65CD8C5" w14:textId="77777777" w:rsidTr="001C71E6">
        <w:trPr>
          <w:cantSplit/>
          <w:trHeight w:val="555"/>
        </w:trPr>
        <w:tc>
          <w:tcPr>
            <w:tcW w:w="1985" w:type="dxa"/>
          </w:tcPr>
          <w:p w14:paraId="638A6D51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090AD1E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594E38EE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610" w:type="dxa"/>
          </w:tcPr>
          <w:p w14:paraId="28EAE4EB" w14:textId="127E55DD" w:rsidR="004D2FD8" w:rsidRPr="007B70EE" w:rsidRDefault="001C71E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Mehmet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Ormankiran</w:t>
            </w:r>
            <w:proofErr w:type="spellEnd"/>
          </w:p>
        </w:tc>
      </w:tr>
      <w:tr w:rsidR="004D2FD8" w:rsidRPr="007B70EE" w14:paraId="08DDB921" w14:textId="77777777" w:rsidTr="001C71E6">
        <w:trPr>
          <w:cantSplit/>
          <w:trHeight w:val="577"/>
        </w:trPr>
        <w:tc>
          <w:tcPr>
            <w:tcW w:w="1985" w:type="dxa"/>
          </w:tcPr>
          <w:p w14:paraId="42F4EFC2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9EB86C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915E3FE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7D88289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18146D88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BAB0E1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0839A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610" w:type="dxa"/>
          </w:tcPr>
          <w:p w14:paraId="46DB21B4" w14:textId="77777777" w:rsidR="004D2FD8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CFDF9EF" w14:textId="77777777" w:rsidR="001C71E6" w:rsidRDefault="001C71E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6578F3" w14:textId="4447D3A3" w:rsidR="001C71E6" w:rsidRPr="00A940DC" w:rsidRDefault="001C71E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Mayor</w:t>
            </w:r>
          </w:p>
        </w:tc>
      </w:tr>
      <w:tr w:rsidR="004D2FD8" w:rsidRPr="007B70EE" w14:paraId="1044ED97" w14:textId="77777777" w:rsidTr="001C71E6">
        <w:trPr>
          <w:cantSplit/>
          <w:trHeight w:val="878"/>
        </w:trPr>
        <w:tc>
          <w:tcPr>
            <w:tcW w:w="1985" w:type="dxa"/>
          </w:tcPr>
          <w:p w14:paraId="3D13D8F7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D775B7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FDA97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C5C33DE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283EB779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115F1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7AEAA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610" w:type="dxa"/>
          </w:tcPr>
          <w:p w14:paraId="5888B998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5E777D" w14:textId="77777777" w:rsidTr="001C71E6">
        <w:trPr>
          <w:cantSplit/>
          <w:trHeight w:val="428"/>
        </w:trPr>
        <w:tc>
          <w:tcPr>
            <w:tcW w:w="1985" w:type="dxa"/>
          </w:tcPr>
          <w:p w14:paraId="3F5B6683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789352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CB88190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9" w:type="dxa"/>
          </w:tcPr>
          <w:p w14:paraId="6D4F43CE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E93584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610" w:type="dxa"/>
          </w:tcPr>
          <w:p w14:paraId="51B6D036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945DAB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437C6D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485CA" w14:textId="77777777" w:rsidR="00112215" w:rsidRDefault="00112215">
      <w:r>
        <w:separator/>
      </w:r>
    </w:p>
    <w:p w14:paraId="604D8580" w14:textId="77777777" w:rsidR="00112215" w:rsidRDefault="00112215"/>
  </w:endnote>
  <w:endnote w:type="continuationSeparator" w:id="0">
    <w:p w14:paraId="4C231772" w14:textId="77777777" w:rsidR="00112215" w:rsidRDefault="00112215">
      <w:r>
        <w:continuationSeparator/>
      </w:r>
    </w:p>
    <w:p w14:paraId="79475830" w14:textId="77777777" w:rsidR="00112215" w:rsidRDefault="001122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D3A6" w14:textId="77777777" w:rsidR="00326BE0" w:rsidRPr="0076436E" w:rsidRDefault="000D4DE7" w:rsidP="008E702C">
    <w:pPr>
      <w:pStyle w:val="a9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D2045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D204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4D477C5" w14:textId="77777777" w:rsidR="00326BE0" w:rsidRPr="00560327" w:rsidRDefault="00326BE0" w:rsidP="008E702C">
    <w:pPr>
      <w:pStyle w:val="a9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90EE8" w14:textId="77777777" w:rsidR="00326BE0" w:rsidRDefault="00326BE0">
    <w:pPr>
      <w:pStyle w:val="a9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BBDA68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7E4A2" w14:textId="77777777" w:rsidR="00112215" w:rsidRDefault="00112215" w:rsidP="008056C4">
      <w:pPr>
        <w:spacing w:before="0" w:after="0"/>
      </w:pPr>
      <w:r>
        <w:separator/>
      </w:r>
    </w:p>
  </w:footnote>
  <w:footnote w:type="continuationSeparator" w:id="0">
    <w:p w14:paraId="6941A8FA" w14:textId="77777777" w:rsidR="00112215" w:rsidRDefault="00112215">
      <w:r>
        <w:continuationSeparator/>
      </w:r>
    </w:p>
    <w:p w14:paraId="16FC66E6" w14:textId="77777777" w:rsidR="00112215" w:rsidRDefault="00112215"/>
  </w:footnote>
  <w:footnote w:id="1">
    <w:p w14:paraId="4A324381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5548F39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8072BA4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621F350" w14:textId="47B89631" w:rsidR="00326BE0" w:rsidRPr="00C675D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764FC7" w:rsidRPr="00C675D1">
        <w:rPr>
          <w:lang w:val="en-GB"/>
        </w:rPr>
        <w:tab/>
      </w:r>
      <w:r w:rsidRPr="00437C6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="00800691" w:rsidRPr="00800691">
        <w:rPr>
          <w:lang w:val="en-IE"/>
        </w:rPr>
        <w:t>http://www.iccwbo.org/incoterms/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37C6D" w:rsidRPr="008B1ADB" w14:paraId="6D5FB228" w14:textId="77777777" w:rsidTr="00F95AA3">
      <w:trPr>
        <w:jc w:val="center"/>
      </w:trPr>
      <w:tc>
        <w:tcPr>
          <w:tcW w:w="2900" w:type="dxa"/>
          <w:shd w:val="clear" w:color="auto" w:fill="auto"/>
        </w:tcPr>
        <w:p w14:paraId="660738A5" w14:textId="77777777" w:rsidR="00437C6D" w:rsidRPr="008B1ADB" w:rsidRDefault="00437C6D" w:rsidP="00437C6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125F3EF3" wp14:editId="6AFEB476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3E150DA6" w14:textId="77777777" w:rsidR="00437C6D" w:rsidRPr="0052265F" w:rsidRDefault="00437C6D" w:rsidP="00437C6D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 xml:space="preserve">Project </w:t>
          </w:r>
          <w:bookmarkStart w:id="2" w:name="_Hlk22136619"/>
          <w:r w:rsidRPr="0052265F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p w14:paraId="48B96EDF" w14:textId="77777777" w:rsidR="00437C6D" w:rsidRPr="002971AA" w:rsidRDefault="00437C6D" w:rsidP="00437C6D">
          <w:pPr>
            <w:jc w:val="center"/>
            <w:rPr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0CDF4B7D" w14:textId="77777777" w:rsidR="00437C6D" w:rsidRPr="008B1ADB" w:rsidRDefault="00437C6D" w:rsidP="00437C6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485DF7F2" wp14:editId="57FDDA1A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1317DA54" w14:textId="77777777" w:rsidR="00437C6D" w:rsidRDefault="00437C6D" w:rsidP="00437C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6F7CFC"/>
    <w:multiLevelType w:val="hybridMultilevel"/>
    <w:tmpl w:val="4D784FD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3A26464"/>
    <w:multiLevelType w:val="hybridMultilevel"/>
    <w:tmpl w:val="E1CE21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19"/>
  </w:num>
  <w:num w:numId="18">
    <w:abstractNumId w:val="24"/>
  </w:num>
  <w:num w:numId="19">
    <w:abstractNumId w:val="29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2"/>
  </w:num>
  <w:num w:numId="25">
    <w:abstractNumId w:val="18"/>
  </w:num>
  <w:num w:numId="26">
    <w:abstractNumId w:val="17"/>
  </w:num>
  <w:num w:numId="27">
    <w:abstractNumId w:val="36"/>
  </w:num>
  <w:num w:numId="28">
    <w:abstractNumId w:val="38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23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2215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C71E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37C6D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13B4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F1DC3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8">
    <w:name w:val="Горен колонтитул Знак"/>
    <w:link w:val="a7"/>
    <w:locked/>
    <w:rsid w:val="00437C6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494F2-69E1-4625-AC7C-DA85E1D4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3760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lenovo</cp:lastModifiedBy>
  <cp:revision>2</cp:revision>
  <cp:lastPrinted>2012-10-22T09:58:00Z</cp:lastPrinted>
  <dcterms:created xsi:type="dcterms:W3CDTF">2020-04-26T11:03:00Z</dcterms:created>
  <dcterms:modified xsi:type="dcterms:W3CDTF">2020-04-26T11:03:00Z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