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902AE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025197665" w:edGrp="everyone"/>
      <w:permEnd w:id="1025197665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2E189D9C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1633FB2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578F30DB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B522D4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0AA0F649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C15060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D959E54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FE7B72F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576B6887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4E95F6CE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6A2A2F06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6F5AF27C" w14:textId="77777777" w:rsidR="00F9163A" w:rsidRDefault="00F55EB3" w:rsidP="00F55EB3">
      <w:pPr>
        <w:ind w:left="720"/>
        <w:jc w:val="both"/>
        <w:rPr>
          <w:sz w:val="22"/>
          <w:szCs w:val="22"/>
        </w:rPr>
      </w:pPr>
      <w:r w:rsidRPr="00F55EB3">
        <w:rPr>
          <w:sz w:val="22"/>
          <w:szCs w:val="22"/>
        </w:rPr>
        <w:t>The amounts due will be calculated by the tranches specified in article 4</w:t>
      </w:r>
      <w:bookmarkStart w:id="0" w:name="_GoBack"/>
      <w:r w:rsidRPr="00F55EB3">
        <w:rPr>
          <w:sz w:val="22"/>
          <w:szCs w:val="22"/>
        </w:rPr>
        <w:t>9</w:t>
      </w:r>
      <w:bookmarkEnd w:id="0"/>
      <w:r w:rsidRPr="00F55EB3">
        <w:rPr>
          <w:sz w:val="22"/>
          <w:szCs w:val="22"/>
        </w:rPr>
        <w:t>(1)(a) of the Special Conditions.</w:t>
      </w:r>
    </w:p>
    <w:p w14:paraId="0F15822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72FA707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0A27979B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2BEFC38A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282D61BF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700BA357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09864156" w14:textId="77777777" w:rsidR="00F9163A" w:rsidRDefault="00F9163A" w:rsidP="00DF2CCB">
      <w:pPr>
        <w:ind w:left="720" w:hanging="720"/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7E85361D" w14:textId="77777777" w:rsidR="00DF2CCB" w:rsidRDefault="00DF2CCB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tbl>
      <w:tblPr>
        <w:tblW w:w="101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870"/>
        <w:gridCol w:w="900"/>
        <w:gridCol w:w="1428"/>
        <w:gridCol w:w="1272"/>
        <w:gridCol w:w="1980"/>
      </w:tblGrid>
      <w:tr w:rsidR="00F21100" w:rsidRPr="00F21100" w14:paraId="5007A6C7" w14:textId="77777777" w:rsidTr="00F21100">
        <w:tc>
          <w:tcPr>
            <w:tcW w:w="720" w:type="dxa"/>
            <w:shd w:val="clear" w:color="auto" w:fill="auto"/>
            <w:vAlign w:val="center"/>
          </w:tcPr>
          <w:p w14:paraId="5779E760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Item</w:t>
            </w:r>
          </w:p>
          <w:p w14:paraId="7AAE3CFE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0966C46D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468A4FA8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EB380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Unit</w:t>
            </w:r>
          </w:p>
          <w:p w14:paraId="0BD91CAE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32DF742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357373B9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92B4465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Firm quantities</w:t>
            </w:r>
          </w:p>
          <w:p w14:paraId="7BEB9567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17CF91E6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11CD33D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19E084DC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BGN</w:t>
            </w:r>
            <w:r w:rsidR="006413D9">
              <w:rPr>
                <w:b/>
                <w:color w:val="000000"/>
                <w:sz w:val="22"/>
                <w:szCs w:val="22"/>
              </w:rPr>
              <w:t xml:space="preserve"> VAT excl.</w:t>
            </w:r>
          </w:p>
          <w:p w14:paraId="55559A27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21100" w:rsidRPr="00F21100" w14:paraId="72713DB9" w14:textId="77777777" w:rsidTr="00F21100">
        <w:tc>
          <w:tcPr>
            <w:tcW w:w="720" w:type="dxa"/>
            <w:shd w:val="clear" w:color="auto" w:fill="auto"/>
            <w:vAlign w:val="center"/>
          </w:tcPr>
          <w:p w14:paraId="50960D9D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27951A67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EARTH MOVING WORKS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229725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00D22FC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303EE66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8DD7228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</w:tr>
      <w:tr w:rsidR="00F21100" w:rsidRPr="00F21100" w14:paraId="559FE8DD" w14:textId="77777777" w:rsidTr="00F21100">
        <w:tc>
          <w:tcPr>
            <w:tcW w:w="720" w:type="dxa"/>
            <w:shd w:val="clear" w:color="auto" w:fill="auto"/>
            <w:vAlign w:val="center"/>
          </w:tcPr>
          <w:p w14:paraId="7D59E73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D079F9C" w14:textId="77777777" w:rsidR="00DF2CCB" w:rsidRPr="00F21100" w:rsidRDefault="00DF2CCB" w:rsidP="00F21100">
            <w:pPr>
              <w:jc w:val="both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Excavation of rocky soils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832F44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BB9067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439D701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146.00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9F9F7B1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F55BEE8" w14:textId="77777777" w:rsidTr="00F21100">
        <w:tc>
          <w:tcPr>
            <w:tcW w:w="720" w:type="dxa"/>
            <w:shd w:val="clear" w:color="auto" w:fill="auto"/>
            <w:vAlign w:val="center"/>
          </w:tcPr>
          <w:p w14:paraId="72B53C86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DDFE382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Loading of rocky soils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27AB6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9E7323B" w14:textId="77777777" w:rsidR="00DF2CCB" w:rsidRPr="00F21100" w:rsidRDefault="00DF2CCB" w:rsidP="00F21100">
            <w:pPr>
              <w:pStyle w:val="a5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57EFAE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146.00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6BF2FD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7A01A086" w14:textId="77777777" w:rsidTr="00F21100">
        <w:tc>
          <w:tcPr>
            <w:tcW w:w="720" w:type="dxa"/>
            <w:shd w:val="clear" w:color="auto" w:fill="auto"/>
            <w:vAlign w:val="center"/>
          </w:tcPr>
          <w:p w14:paraId="4789B2CE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89D71AA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Transport of rocky soil with dump truck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1E3EA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25679D6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A8CF98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146.00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D4DBABD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C7317E8" w14:textId="77777777" w:rsidTr="00F21100">
        <w:tc>
          <w:tcPr>
            <w:tcW w:w="720" w:type="dxa"/>
            <w:shd w:val="clear" w:color="auto" w:fill="auto"/>
            <w:vAlign w:val="center"/>
          </w:tcPr>
          <w:p w14:paraId="2B7839E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E522B42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Construction of a bank of suitable material, incl. delivery and laying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15262BB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0A2A56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AAF676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119.00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61EF393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A745B55" w14:textId="77777777" w:rsidTr="00F21100">
        <w:tc>
          <w:tcPr>
            <w:tcW w:w="720" w:type="dxa"/>
            <w:shd w:val="clear" w:color="auto" w:fill="auto"/>
            <w:vAlign w:val="center"/>
          </w:tcPr>
          <w:p w14:paraId="4669006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4540BF64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ROAD WORKS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FFB289B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151B4E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694C4CC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44EB4A1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8C5A8BD" w14:textId="77777777" w:rsidTr="00F21100">
        <w:tc>
          <w:tcPr>
            <w:tcW w:w="720" w:type="dxa"/>
            <w:shd w:val="clear" w:color="auto" w:fill="auto"/>
            <w:vAlign w:val="center"/>
          </w:tcPr>
          <w:p w14:paraId="7CE0935B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E821533" w14:textId="77777777" w:rsidR="00DF2CCB" w:rsidRPr="00F21100" w:rsidRDefault="00DF2CCB" w:rsidP="00F21100">
            <w:pPr>
              <w:jc w:val="both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Destruction of asphalt pavement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742B34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6AA566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FC0EE67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786C87A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0BBD2625" w14:textId="77777777" w:rsidTr="00F21100">
        <w:tc>
          <w:tcPr>
            <w:tcW w:w="720" w:type="dxa"/>
            <w:shd w:val="clear" w:color="auto" w:fill="auto"/>
            <w:vAlign w:val="center"/>
          </w:tcPr>
          <w:p w14:paraId="31E7523F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24B10D5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Excavation to form a roadbed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4D17BF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38DA299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BA3A8B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265.00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08B515C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97944D2" w14:textId="77777777" w:rsidTr="00F21100">
        <w:tc>
          <w:tcPr>
            <w:tcW w:w="720" w:type="dxa"/>
            <w:shd w:val="clear" w:color="auto" w:fill="auto"/>
            <w:vAlign w:val="center"/>
          </w:tcPr>
          <w:p w14:paraId="726D063F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B95908D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Loading of rocky soils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D76032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892120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6C9F19B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540.00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C468C18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40ABF022" w14:textId="77777777" w:rsidTr="00F21100">
        <w:tc>
          <w:tcPr>
            <w:tcW w:w="720" w:type="dxa"/>
            <w:shd w:val="clear" w:color="auto" w:fill="auto"/>
            <w:vAlign w:val="center"/>
          </w:tcPr>
          <w:p w14:paraId="2C51E66F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D02085D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Transport of rocky soil with dump truck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07C209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EAB9C79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89EB98E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540.00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415022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10483BD" w14:textId="77777777" w:rsidTr="00F21100">
        <w:tc>
          <w:tcPr>
            <w:tcW w:w="720" w:type="dxa"/>
            <w:shd w:val="clear" w:color="auto" w:fill="auto"/>
            <w:vAlign w:val="center"/>
          </w:tcPr>
          <w:p w14:paraId="1F2822A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C5C2B2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a roadbed of unsorted crushed aggregates with continuous grain size (0-40),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ACB0DB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AD90FC6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43EFC11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147.00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F58E98D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7F90E9C8" w14:textId="77777777" w:rsidTr="00F21100">
        <w:tc>
          <w:tcPr>
            <w:tcW w:w="720" w:type="dxa"/>
            <w:shd w:val="clear" w:color="auto" w:fill="auto"/>
            <w:vAlign w:val="center"/>
          </w:tcPr>
          <w:p w14:paraId="053EC86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499AEC4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unsorted crushed aggregates, not treated with binder for soft shoulders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D26F45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2036A4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811193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52.00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FFEF6D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077CF52" w14:textId="77777777" w:rsidTr="00F21100">
        <w:tc>
          <w:tcPr>
            <w:tcW w:w="720" w:type="dxa"/>
            <w:shd w:val="clear" w:color="auto" w:fill="auto"/>
            <w:vAlign w:val="center"/>
          </w:tcPr>
          <w:p w14:paraId="75659EE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68E10DB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dense asphalt concrete type "A",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299506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tons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D46DD8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2AC3490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53.28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6979F0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7F75773" w14:textId="77777777" w:rsidTr="00F21100">
        <w:tc>
          <w:tcPr>
            <w:tcW w:w="720" w:type="dxa"/>
            <w:shd w:val="clear" w:color="auto" w:fill="auto"/>
            <w:vAlign w:val="center"/>
          </w:tcPr>
          <w:p w14:paraId="5F593C2D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D667DCF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permeable asphalt concrete (binder),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FF56AE1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tons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5121D2B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2F5D5E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53.28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C1B2215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911BEBF" w14:textId="77777777" w:rsidTr="00F21100">
        <w:tc>
          <w:tcPr>
            <w:tcW w:w="720" w:type="dxa"/>
            <w:shd w:val="clear" w:color="auto" w:fill="auto"/>
            <w:vAlign w:val="center"/>
          </w:tcPr>
          <w:p w14:paraId="56E29CC2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EA4B157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bituminous crushed aggregates,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F3441E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tons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2D118F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AB720E9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106.56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E763D11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F846CC0" w14:textId="77777777" w:rsidTr="00F21100">
        <w:tc>
          <w:tcPr>
            <w:tcW w:w="720" w:type="dxa"/>
            <w:shd w:val="clear" w:color="auto" w:fill="auto"/>
            <w:vAlign w:val="center"/>
          </w:tcPr>
          <w:p w14:paraId="58CF6BBE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865475E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First bitumen spill for a different width  connection,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6FB7D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8EC930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6D0C71C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2736207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0461F999" w14:textId="77777777" w:rsidTr="00F21100">
        <w:tc>
          <w:tcPr>
            <w:tcW w:w="720" w:type="dxa"/>
            <w:shd w:val="clear" w:color="auto" w:fill="auto"/>
            <w:vAlign w:val="center"/>
          </w:tcPr>
          <w:p w14:paraId="564CE32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EB35477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Second bitumen spill for a different width  connection, including all related costs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BC3864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FCC220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5424E3F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525.00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BC08959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F3EC3F1" w14:textId="77777777" w:rsidTr="00F21100">
        <w:tc>
          <w:tcPr>
            <w:tcW w:w="720" w:type="dxa"/>
            <w:shd w:val="clear" w:color="auto" w:fill="auto"/>
            <w:vAlign w:val="center"/>
          </w:tcPr>
          <w:p w14:paraId="3DB10307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ACDEFF8" w14:textId="77777777" w:rsidR="00DF2CCB" w:rsidRPr="00F21100" w:rsidRDefault="00DF2CCB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Destruction of asphalt pavement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7BE16C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083CE65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B91AA38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1,145.00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E3C02A7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39D82B2" w14:textId="77777777" w:rsidTr="00F21100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FD76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6947B" w14:textId="77777777" w:rsidR="00DF2CCB" w:rsidRPr="00F21100" w:rsidRDefault="002C5892" w:rsidP="002C5892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RECONSTRUCTION OF A CONCRETE CHANNEL FOR DRAINAGE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B1045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BFBE3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AFE9E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6D45C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031AF06E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C62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7CD6" w14:textId="77777777" w:rsidR="002C5892" w:rsidRPr="00F21100" w:rsidRDefault="002C5892" w:rsidP="002C5892">
            <w:pPr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Dismantling of concrete elements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F4F6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455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77B1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8269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3B7C324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703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0065" w14:textId="77777777" w:rsidR="002C5892" w:rsidRPr="00F21100" w:rsidRDefault="002C5892" w:rsidP="002C5892">
            <w:pPr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Loading of construction waste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EA5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3E8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B83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48FC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E96A7D6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FC8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35E2" w14:textId="77777777" w:rsidR="002C5892" w:rsidRPr="00F21100" w:rsidRDefault="002C5892" w:rsidP="002C5892">
            <w:pPr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Transport of construction waste and disposal at a landfill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087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0C7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8E7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3A47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08DA22A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81E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477F" w14:textId="77777777" w:rsidR="002C5892" w:rsidRPr="00F21100" w:rsidRDefault="002C5892" w:rsidP="002C5892">
            <w:pPr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Shaping  of a bed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9F0A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1C8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FF8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A6C5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EE32C78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13DA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6FEF" w14:textId="77777777" w:rsidR="002C5892" w:rsidRPr="00F21100" w:rsidRDefault="002C5892" w:rsidP="002C5892">
            <w:pPr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installation of concrete elements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E03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874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AA5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E03D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7D1F653B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ED2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F126" w14:textId="77777777" w:rsidR="002C5892" w:rsidRPr="00F21100" w:rsidRDefault="002C5892" w:rsidP="002C5892">
            <w:pPr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Shaping an adjoining ledge at a concrete channel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FB9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F5CB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39D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150.00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1026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9863951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8A0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4494" w14:textId="77777777" w:rsidR="002C5892" w:rsidRPr="00F21100" w:rsidRDefault="002C5892" w:rsidP="002C5892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MAKE OF A NEW DRAINAGE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C785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069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CCE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A1A5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D3DB55D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B45E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28C1" w14:textId="77777777" w:rsidR="002C5892" w:rsidRPr="00F21100" w:rsidRDefault="002C5892" w:rsidP="00F21100">
            <w:pPr>
              <w:jc w:val="both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Destruction of an existing drainage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4D35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9C9B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C28B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3F56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F8F0A55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729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3750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Loading of construction waste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BD9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FA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CDF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9C609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34DEFD2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282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7919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Transport of construction waste and disposal at a landfill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838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DA6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B85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D52C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3FF2E00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286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AEF8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light prefabricated slap culvert 150/150/100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442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45E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BDA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7.00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B0D8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27BF2C8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A68B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F598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pouring of concrete C 16/20, for small facilities including formwork and all necessary materials without reinforcement and all related costs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8C8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F03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270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33DA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BB14E0F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D286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3FCA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pouring of concrete C 20/25, for wings, walls and foundations including formwork and all necessary materials without reinforcement and all related costs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EB7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3DB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A1DE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56.21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9112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1AA004C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6C4B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40BA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Large-grained sand (or rubble)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045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AFE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95B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E041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493136FF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1F8D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4A0E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Manufacturing and installation of reinforcement - regular and medium complexity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A8C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45F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125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1,423.00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04D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2C77788" w14:textId="77777777" w:rsidTr="00F21100">
        <w:trPr>
          <w:trHeight w:val="3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AEB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EF9B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Waterproofing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DA56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F23A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84DE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37.10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24C6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D47FAB5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475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B185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Making of edging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F7C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A3E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8C2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14.00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15E6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EF74F6E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F00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591C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Treatment of joints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860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81E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453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3CD4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7C959646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1491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BDD7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installation of metal railing for a drainage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BFA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F7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0E1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8.00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8F0B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9FF667E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F03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5B42" w14:textId="77777777" w:rsidR="002C5892" w:rsidRPr="00F21100" w:rsidRDefault="002C5892" w:rsidP="002C5892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RECOVERY OF A ROAD RUNWAY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B98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80D5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5C1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FF92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72C03F0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E38A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F0F7" w14:textId="77777777" w:rsidR="002C5892" w:rsidRPr="00F21100" w:rsidRDefault="002C5892" w:rsidP="00F21100">
            <w:pPr>
              <w:jc w:val="both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Excavation of rocky soils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E051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39D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340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6.48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7A20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3090CACA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FC55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232A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Making a sand seating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FDBE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22A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8A69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BB22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181CD6B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6D24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C0A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installation of concrete elements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3CEF" w14:textId="77777777" w:rsidR="002C5892" w:rsidRPr="00F21100" w:rsidRDefault="002C5892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36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465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67D9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8826A0B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56B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8F75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Making a reverse bank of tamped sand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362C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1870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747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51F7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D6FCD3E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DE78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7D75" w14:textId="77777777" w:rsidR="002C5892" w:rsidRPr="00F21100" w:rsidRDefault="002C5892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laying of a roadbed of unsorted crushed aggregates with continuous grain size (0-40), including all related costs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BF8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9513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D23F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1.80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7448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6F9C8F03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8A42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CB6F" w14:textId="77777777" w:rsidR="002C5892" w:rsidRPr="00F21100" w:rsidRDefault="007E21C8" w:rsidP="002C5892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TRAFFIC ORGANIZATION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49C6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12B5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AB87" w14:textId="77777777" w:rsidR="002C5892" w:rsidRPr="00F21100" w:rsidRDefault="002C5892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4AF6" w14:textId="77777777" w:rsidR="002C5892" w:rsidRPr="00F21100" w:rsidRDefault="002C5892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D08C207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6983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781" w14:textId="77777777" w:rsidR="007E21C8" w:rsidRPr="00F21100" w:rsidRDefault="007E21C8" w:rsidP="00F21100">
            <w:pPr>
              <w:jc w:val="both"/>
              <w:rPr>
                <w:snapToGrid/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 xml:space="preserve">Type II white marking - cold plastic injection </w:t>
            </w:r>
            <w:proofErr w:type="spellStart"/>
            <w:r w:rsidRPr="00F21100">
              <w:rPr>
                <w:color w:val="000000"/>
                <w:sz w:val="22"/>
                <w:szCs w:val="22"/>
              </w:rPr>
              <w:t>molding</w:t>
            </w:r>
            <w:proofErr w:type="spellEnd"/>
            <w:r w:rsidRPr="00F21100">
              <w:rPr>
                <w:color w:val="000000"/>
                <w:sz w:val="22"/>
                <w:szCs w:val="22"/>
              </w:rPr>
              <w:t xml:space="preserve"> with reflective pearls of minimum thickness 0,7 mm (provided with a consumption rate that considers the density of the main component/s at 20 ° C) with a minimum life of 3 years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C5CD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1F91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CC33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A827" w14:textId="77777777" w:rsidR="007E21C8" w:rsidRPr="00F21100" w:rsidRDefault="007E21C8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4A0E0BC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428F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54BE" w14:textId="77777777" w:rsidR="007E21C8" w:rsidRPr="00F21100" w:rsidRDefault="007E21C8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 xml:space="preserve">Delivery and installation of standard reflecting traffic signs with Class 2 reflecting film, size I, including all </w:t>
            </w:r>
            <w:r w:rsidRPr="00F21100">
              <w:rPr>
                <w:color w:val="000000"/>
                <w:sz w:val="22"/>
                <w:szCs w:val="22"/>
              </w:rPr>
              <w:lastRenderedPageBreak/>
              <w:t>related costs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F357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lastRenderedPageBreak/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FCE4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77B7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985C" w14:textId="77777777" w:rsidR="007E21C8" w:rsidRPr="00F21100" w:rsidRDefault="007E21C8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42C70629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4192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5D80" w14:textId="77777777" w:rsidR="007E21C8" w:rsidRPr="00F21100" w:rsidRDefault="007E21C8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Strengthening of standard traffic signs, including all related costs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BAB7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AF55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3A34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AD23" w14:textId="77777777" w:rsidR="007E21C8" w:rsidRPr="00F21100" w:rsidRDefault="007E21C8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5FA391E8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22B1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CB4D" w14:textId="77777777" w:rsidR="007E21C8" w:rsidRPr="00F21100" w:rsidRDefault="007E21C8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installation of a new elastic protective fence, including all related costs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0B22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001B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BCBD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46997" w14:textId="77777777" w:rsidR="007E21C8" w:rsidRPr="00F21100" w:rsidRDefault="007E21C8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85FEB29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5922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3DC1" w14:textId="77777777" w:rsidR="007E21C8" w:rsidRPr="00F21100" w:rsidRDefault="007E21C8" w:rsidP="007E21C8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TEMPORARY TRAFFIC ORGANIZATION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C4C5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811F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E02" w14:textId="77777777" w:rsidR="007E21C8" w:rsidRPr="00F21100" w:rsidRDefault="007E21C8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2435" w14:textId="77777777" w:rsidR="007E21C8" w:rsidRPr="00F21100" w:rsidRDefault="007E21C8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238C8DCF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41DC" w14:textId="616B0F02" w:rsidR="004F0A96" w:rsidRPr="00F21100" w:rsidRDefault="00783722" w:rsidP="00F21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6C23" w14:textId="77777777" w:rsidR="004F0A96" w:rsidRPr="00F21100" w:rsidRDefault="004F0A96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Protection of concrete elements with geotextile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650A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00CF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C64F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BEFB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40D757D4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03F5" w14:textId="1EEDB077" w:rsidR="004F0A96" w:rsidRPr="00F21100" w:rsidRDefault="00783722" w:rsidP="00F21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ABF6" w14:textId="77777777" w:rsidR="004F0A96" w:rsidRPr="00F21100" w:rsidRDefault="004F0A96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Covering of a syphon with a suitable material, incl. delivery and laying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F406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8D75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7DF8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75.00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8357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743D30D6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34D6" w14:textId="1331F015" w:rsidR="004F0A96" w:rsidRPr="00F21100" w:rsidRDefault="00783722" w:rsidP="00F21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F0A96" w:rsidRPr="00F21100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CC5B" w14:textId="77777777" w:rsidR="004F0A96" w:rsidRPr="00F21100" w:rsidRDefault="004F0A96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Delivery and installation of pipes  PEND Ф 315 for drainage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BE5D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C090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38CB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8D8C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1100" w:rsidRPr="00F21100" w14:paraId="116345CE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810B" w14:textId="4A0C66E1" w:rsidR="004F0A96" w:rsidRPr="00F21100" w:rsidRDefault="00783722" w:rsidP="00F21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7436" w14:textId="77777777" w:rsidR="004F0A96" w:rsidRPr="00F21100" w:rsidRDefault="004F0A96" w:rsidP="00F21100">
            <w:pPr>
              <w:jc w:val="both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Removal of a bank for a temporary road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2711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7CF0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BAC9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  <w:r w:rsidRPr="00F21100">
              <w:rPr>
                <w:color w:val="000000"/>
                <w:sz w:val="22"/>
                <w:szCs w:val="22"/>
              </w:rPr>
              <w:t>75.00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8251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F0A96" w:rsidRPr="00F21100" w14:paraId="2DF3FECD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A44A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640D" w14:textId="77777777" w:rsidR="004F0A96" w:rsidRPr="00F21100" w:rsidRDefault="004F0A96" w:rsidP="00F2110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3743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F0A96" w:rsidRPr="00F21100" w14:paraId="00685B2D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C2E3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2BB9" w14:textId="77777777" w:rsidR="004F0A96" w:rsidRPr="00F21100" w:rsidRDefault="004F0A96" w:rsidP="00F2110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26F5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F0A96" w:rsidRPr="00F21100" w14:paraId="38115322" w14:textId="77777777" w:rsidTr="00F2110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7C7A" w14:textId="77777777" w:rsidR="004F0A96" w:rsidRPr="00F21100" w:rsidRDefault="004F0A96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37D4" w14:textId="77777777" w:rsidR="004F0A96" w:rsidRPr="00F21100" w:rsidRDefault="004F0A96" w:rsidP="00F2110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8A46" w14:textId="77777777" w:rsidR="004F0A96" w:rsidRPr="00F21100" w:rsidRDefault="004F0A96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0BAEFF92" w14:textId="77777777" w:rsidR="00DF2CCB" w:rsidRDefault="00DF2CCB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538F2AB4" w14:textId="77777777" w:rsidR="007E21C8" w:rsidRDefault="007E21C8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36660ABE" w14:textId="77777777" w:rsidR="002C5892" w:rsidRPr="002C5892" w:rsidRDefault="002C5892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03B6DC37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192ADE82" w14:textId="77777777" w:rsidR="00F9163A" w:rsidRPr="00E725FE" w:rsidRDefault="004F0A96" w:rsidP="004F0A96">
      <w:pPr>
        <w:tabs>
          <w:tab w:val="left" w:pos="39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For tenderer:</w:t>
      </w: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A8F03" w14:textId="77777777" w:rsidR="00B75E6D" w:rsidRPr="00E725FE" w:rsidRDefault="00B75E6D">
      <w:r w:rsidRPr="00E725FE">
        <w:separator/>
      </w:r>
    </w:p>
  </w:endnote>
  <w:endnote w:type="continuationSeparator" w:id="0">
    <w:p w14:paraId="3A996039" w14:textId="77777777" w:rsidR="00B75E6D" w:rsidRPr="00E725FE" w:rsidRDefault="00B75E6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3AD25" w14:textId="77777777" w:rsidR="00DC7084" w:rsidRDefault="00DC708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4FF629C0" w14:textId="77777777" w:rsidR="00DC7084" w:rsidRDefault="00DC70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1455D" w14:textId="77777777" w:rsidR="00F55EB3" w:rsidRDefault="00F55EB3" w:rsidP="00F55EB3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 w:rsidRPr="00A05163">
      <w:rPr>
        <w:b/>
        <w:i/>
        <w:iCs/>
        <w:sz w:val="18"/>
        <w:lang w:val="en-US"/>
      </w:rPr>
      <w:t xml:space="preserve">Turkey </w:t>
    </w:r>
    <w:proofErr w:type="spellStart"/>
    <w:r w:rsidRPr="00A05163">
      <w:rPr>
        <w:b/>
        <w:i/>
        <w:iCs/>
        <w:sz w:val="18"/>
        <w:lang w:val="en-US"/>
      </w:rPr>
      <w:t>Programme</w:t>
    </w:r>
    <w:proofErr w:type="spellEnd"/>
  </w:p>
  <w:p w14:paraId="744EDB72" w14:textId="77777777" w:rsidR="004C505D" w:rsidRPr="00063B37" w:rsidRDefault="007D26CA" w:rsidP="004C505D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PAGE </w:instrText>
    </w:r>
    <w:r w:rsidR="004C505D" w:rsidRPr="00063B37">
      <w:rPr>
        <w:rStyle w:val="ac"/>
        <w:sz w:val="18"/>
        <w:szCs w:val="18"/>
      </w:rPr>
      <w:fldChar w:fldCharType="separate"/>
    </w:r>
    <w:r w:rsidR="006413D9">
      <w:rPr>
        <w:rStyle w:val="ac"/>
        <w:noProof/>
        <w:sz w:val="18"/>
        <w:szCs w:val="18"/>
      </w:rPr>
      <w:t>1</w:t>
    </w:r>
    <w:r w:rsidR="004C505D" w:rsidRPr="00063B37">
      <w:rPr>
        <w:rStyle w:val="ac"/>
        <w:sz w:val="18"/>
        <w:szCs w:val="18"/>
      </w:rPr>
      <w:fldChar w:fldCharType="end"/>
    </w:r>
    <w:r w:rsidR="004C505D" w:rsidRPr="00063B37">
      <w:rPr>
        <w:rStyle w:val="ac"/>
        <w:sz w:val="18"/>
        <w:szCs w:val="18"/>
      </w:rPr>
      <w:t xml:space="preserve"> of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NUMPAGES </w:instrText>
    </w:r>
    <w:r w:rsidR="004C505D" w:rsidRPr="00063B37">
      <w:rPr>
        <w:rStyle w:val="ac"/>
        <w:sz w:val="18"/>
        <w:szCs w:val="18"/>
      </w:rPr>
      <w:fldChar w:fldCharType="separate"/>
    </w:r>
    <w:r w:rsidR="006413D9">
      <w:rPr>
        <w:rStyle w:val="ac"/>
        <w:noProof/>
        <w:sz w:val="18"/>
        <w:szCs w:val="18"/>
      </w:rPr>
      <w:t>4</w:t>
    </w:r>
    <w:r w:rsidR="004C505D" w:rsidRPr="00063B37">
      <w:rPr>
        <w:rStyle w:val="ac"/>
        <w:sz w:val="18"/>
        <w:szCs w:val="18"/>
      </w:rPr>
      <w:fldChar w:fldCharType="end"/>
    </w:r>
  </w:p>
  <w:p w14:paraId="10459C61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B0B4E" w14:textId="77777777" w:rsidR="00DC7084" w:rsidRPr="00E725FE" w:rsidRDefault="00FF6C38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="00DC7084" w:rsidRPr="00E725FE">
      <w:rPr>
        <w:rStyle w:val="ac"/>
        <w:sz w:val="18"/>
        <w:szCs w:val="18"/>
      </w:rPr>
      <w:tab/>
      <w:t xml:space="preserve">Page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PAGE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  <w:r w:rsidR="00DC7084" w:rsidRPr="00E725FE">
      <w:rPr>
        <w:rStyle w:val="ac"/>
        <w:sz w:val="18"/>
        <w:szCs w:val="18"/>
      </w:rPr>
      <w:t xml:space="preserve"> of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NUMPAGES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</w:p>
  <w:p w14:paraId="7ECD7AEF" w14:textId="77777777" w:rsidR="00DC7084" w:rsidRPr="00D50985" w:rsidRDefault="00DC7084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6E15E" w14:textId="77777777" w:rsidR="00B75E6D" w:rsidRPr="00E725FE" w:rsidRDefault="00B75E6D">
      <w:r w:rsidRPr="00E725FE">
        <w:separator/>
      </w:r>
    </w:p>
  </w:footnote>
  <w:footnote w:type="continuationSeparator" w:id="0">
    <w:p w14:paraId="02A259BA" w14:textId="77777777" w:rsidR="00B75E6D" w:rsidRPr="00E725FE" w:rsidRDefault="00B75E6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F55EB3" w:rsidRPr="00A05163" w14:paraId="4D7C1235" w14:textId="77777777" w:rsidTr="00753F04">
      <w:tc>
        <w:tcPr>
          <w:tcW w:w="5598" w:type="dxa"/>
          <w:shd w:val="clear" w:color="auto" w:fill="auto"/>
        </w:tcPr>
        <w:p w14:paraId="7EDD2B94" w14:textId="77777777" w:rsidR="00F55EB3" w:rsidRPr="00A05163" w:rsidRDefault="00CB0427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1CCF8A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4pt;height:68.75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05DDBD16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26ABB342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2408C2A5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F1FFB58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8FA6325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8BA45CE" w14:textId="77777777" w:rsidR="00F55EB3" w:rsidRPr="00A05163" w:rsidRDefault="00F55EB3" w:rsidP="00F55EB3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6D14AEA0" w14:textId="77777777" w:rsidR="00F55EB3" w:rsidRPr="00A05163" w:rsidRDefault="00CB0427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61128F53">
              <v:shape id="Picture 2" o:spid="_x0000_i1026" type="#_x0000_t75" alt="Описание: European Emblem" style="width:83.1pt;height:55.4pt;visibility:visible">
                <v:imagedata r:id="rId2" o:title="European Emblem"/>
              </v:shape>
            </w:pict>
          </w:r>
        </w:p>
      </w:tc>
    </w:tr>
  </w:tbl>
  <w:p w14:paraId="2BD34C41" w14:textId="77777777" w:rsidR="00F55EB3" w:rsidRPr="00A05163" w:rsidRDefault="00F55EB3" w:rsidP="00F55EB3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05163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64211AA6" w14:textId="77777777" w:rsidR="002D08CE" w:rsidRDefault="002D08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D2D4" w14:textId="77777777" w:rsidR="00DC7084" w:rsidRDefault="00DC7084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C5892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0A96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0395C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13D9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3722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21C8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C7F1C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5E6D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0427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40E8"/>
    <w:rsid w:val="00DC7084"/>
    <w:rsid w:val="00DE0B72"/>
    <w:rsid w:val="00DF2CCB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1100"/>
    <w:rsid w:val="00F25C13"/>
    <w:rsid w:val="00F50AFB"/>
    <w:rsid w:val="00F54C76"/>
    <w:rsid w:val="00F55EB3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5454604B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9</cp:revision>
  <cp:lastPrinted>2011-09-27T09:12:00Z</cp:lastPrinted>
  <dcterms:created xsi:type="dcterms:W3CDTF">2018-12-18T13:17:00Z</dcterms:created>
  <dcterms:modified xsi:type="dcterms:W3CDTF">2020-02-27T14:13:00Z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