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4D017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42284095" w:edGrp="everyone"/>
      <w:permEnd w:id="42284095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14:paraId="502FBCF3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527091C4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14:paraId="4394DDBA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410AF406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14:paraId="5C4060A5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2CC88B4F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249528B9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0947FE94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14:paraId="29FE1E2D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14:paraId="14D876D9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14:paraId="4F5415C8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14:paraId="67D48746" w14:textId="77777777" w:rsidR="00F9163A" w:rsidRDefault="00F55EB3" w:rsidP="00F55EB3">
      <w:pPr>
        <w:ind w:left="720"/>
        <w:jc w:val="both"/>
        <w:rPr>
          <w:sz w:val="22"/>
          <w:szCs w:val="22"/>
        </w:rPr>
      </w:pPr>
      <w:r w:rsidRPr="00F55EB3">
        <w:rPr>
          <w:sz w:val="22"/>
          <w:szCs w:val="22"/>
        </w:rPr>
        <w:t>The amounts due will be calculated by the tranches specified in article 49(1)(a) of the Special Conditions.</w:t>
      </w:r>
    </w:p>
    <w:p w14:paraId="5F567EAA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14:paraId="144631BA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14:paraId="63EE6A9C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4C7CCBCC" w14:textId="77777777" w:rsidR="00F9163A" w:rsidRPr="00E725FE" w:rsidRDefault="000E27AD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14:paraId="6AA324E0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0FCAA86E" w14:textId="77777777" w:rsidR="003C7E41" w:rsidRDefault="000E27AD" w:rsidP="003C7E4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14:paraId="6CAC2B85" w14:textId="77777777" w:rsidR="00F9163A" w:rsidRDefault="00F9163A" w:rsidP="00DF2CCB">
      <w:pPr>
        <w:ind w:left="720" w:hanging="720"/>
        <w:jc w:val="both"/>
        <w:rPr>
          <w:b/>
          <w:color w:val="000000"/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14:paraId="240E89ED" w14:textId="77777777" w:rsidR="00DF2CCB" w:rsidRDefault="00DF2CCB" w:rsidP="00DF2CCB">
      <w:pPr>
        <w:ind w:left="720" w:hanging="720"/>
        <w:jc w:val="both"/>
        <w:rPr>
          <w:b/>
          <w:color w:val="000000"/>
          <w:sz w:val="22"/>
          <w:szCs w:val="22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4140"/>
        <w:gridCol w:w="900"/>
        <w:gridCol w:w="1428"/>
        <w:gridCol w:w="1272"/>
        <w:gridCol w:w="1980"/>
      </w:tblGrid>
      <w:tr w:rsidR="00F21100" w:rsidRPr="00F21100" w14:paraId="683E1A86" w14:textId="77777777" w:rsidTr="008B2004">
        <w:tc>
          <w:tcPr>
            <w:tcW w:w="720" w:type="dxa"/>
            <w:shd w:val="clear" w:color="auto" w:fill="auto"/>
            <w:vAlign w:val="center"/>
          </w:tcPr>
          <w:p w14:paraId="5CCDFF45" w14:textId="77777777" w:rsidR="00DF2CCB" w:rsidRPr="00F21100" w:rsidRDefault="00DF2CCB" w:rsidP="00DF2CCB">
            <w:pPr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Item</w:t>
            </w:r>
          </w:p>
          <w:p w14:paraId="65C6E06B" w14:textId="77777777" w:rsidR="00DF2CCB" w:rsidRPr="00F21100" w:rsidRDefault="00DF2CCB" w:rsidP="00DF2CC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199C475C" w14:textId="77777777" w:rsidR="00DF2CCB" w:rsidRPr="00F21100" w:rsidRDefault="00DF2CCB" w:rsidP="00DF2CCB">
            <w:pPr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Description</w:t>
            </w:r>
          </w:p>
          <w:p w14:paraId="1B6A49C6" w14:textId="77777777" w:rsidR="00DF2CCB" w:rsidRPr="00F21100" w:rsidRDefault="00DF2CCB" w:rsidP="00DF2CC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79CF0FE" w14:textId="77777777" w:rsidR="00DF2CCB" w:rsidRPr="00F21100" w:rsidRDefault="00DF2CCB" w:rsidP="00DF2CCB">
            <w:pPr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Unit</w:t>
            </w:r>
          </w:p>
          <w:p w14:paraId="3AD625BA" w14:textId="77777777" w:rsidR="00DF2CCB" w:rsidRPr="00F21100" w:rsidRDefault="00DF2CCB" w:rsidP="00DF2CC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44722829" w14:textId="77777777" w:rsidR="00DF2CCB" w:rsidRPr="00F21100" w:rsidRDefault="00DF2CCB" w:rsidP="00DF2CCB">
            <w:pPr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 xml:space="preserve"> Unit price</w:t>
            </w:r>
          </w:p>
          <w:p w14:paraId="6A7B93B2" w14:textId="77777777" w:rsidR="00DF2CCB" w:rsidRPr="00F21100" w:rsidRDefault="00DF2CCB" w:rsidP="00F2110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21DDF599" w14:textId="77777777" w:rsidR="00DF2CCB" w:rsidRPr="00F21100" w:rsidRDefault="00DF2CCB" w:rsidP="00F2110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Firm quantities</w:t>
            </w:r>
          </w:p>
          <w:p w14:paraId="5B23B191" w14:textId="77777777" w:rsidR="00DF2CCB" w:rsidRPr="00F21100" w:rsidRDefault="00DF2CCB" w:rsidP="00F2110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035FF05B" w14:textId="77777777" w:rsidR="00DF2CCB" w:rsidRPr="00F21100" w:rsidRDefault="00DF2CCB" w:rsidP="00F2110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12947D06" w14:textId="77777777" w:rsidR="00DF2CCB" w:rsidRPr="00F21100" w:rsidRDefault="00DF2CCB" w:rsidP="00F2110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Lump-sum price</w:t>
            </w:r>
          </w:p>
          <w:p w14:paraId="658CF7DD" w14:textId="77777777" w:rsidR="00DF2CCB" w:rsidRPr="00F21100" w:rsidRDefault="00DF2CCB" w:rsidP="00F2110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BGN</w:t>
            </w:r>
            <w:r w:rsidR="006413D9">
              <w:rPr>
                <w:b/>
                <w:color w:val="000000"/>
                <w:sz w:val="22"/>
                <w:szCs w:val="22"/>
              </w:rPr>
              <w:t xml:space="preserve"> VAT excl.</w:t>
            </w:r>
          </w:p>
          <w:p w14:paraId="6C0DCB53" w14:textId="77777777" w:rsidR="00DF2CCB" w:rsidRPr="00F21100" w:rsidRDefault="00DF2CCB" w:rsidP="00F2110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21100" w:rsidRPr="00F21100" w14:paraId="53826C9B" w14:textId="77777777" w:rsidTr="008B2004">
        <w:tc>
          <w:tcPr>
            <w:tcW w:w="720" w:type="dxa"/>
            <w:shd w:val="clear" w:color="auto" w:fill="auto"/>
            <w:vAlign w:val="center"/>
          </w:tcPr>
          <w:p w14:paraId="318C6BC2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730ECC96" w14:textId="77777777" w:rsidR="00DF2CCB" w:rsidRPr="00F21100" w:rsidRDefault="00EF2548" w:rsidP="00DF2CCB">
            <w:pPr>
              <w:rPr>
                <w:b/>
                <w:color w:val="000000"/>
                <w:sz w:val="22"/>
                <w:szCs w:val="22"/>
              </w:rPr>
            </w:pPr>
            <w:r w:rsidRPr="00EF2548">
              <w:rPr>
                <w:b/>
                <w:color w:val="000000"/>
                <w:sz w:val="22"/>
                <w:szCs w:val="22"/>
              </w:rPr>
              <w:t>CONSTRUCTION OF WATER PIPE LINE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9CB91E7" w14:textId="77777777" w:rsidR="00DF2CCB" w:rsidRPr="00F21100" w:rsidRDefault="00DF2CCB" w:rsidP="00DF2CC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31A904B0" w14:textId="77777777" w:rsidR="00DF2CCB" w:rsidRPr="00F21100" w:rsidRDefault="00DF2CCB" w:rsidP="00DF2CC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3C25AF80" w14:textId="77777777" w:rsidR="00DF2CCB" w:rsidRPr="00F21100" w:rsidRDefault="00DF2CCB" w:rsidP="00DF2CC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0CCA99FE" w14:textId="77777777" w:rsidR="00DF2CCB" w:rsidRPr="00F21100" w:rsidRDefault="00DF2CCB" w:rsidP="00DF2CCB">
            <w:pPr>
              <w:rPr>
                <w:color w:val="000000"/>
                <w:sz w:val="22"/>
                <w:szCs w:val="22"/>
              </w:rPr>
            </w:pPr>
          </w:p>
        </w:tc>
      </w:tr>
      <w:tr w:rsidR="00F21100" w:rsidRPr="00F21100" w14:paraId="403EB5C7" w14:textId="77777777" w:rsidTr="008B2004">
        <w:tc>
          <w:tcPr>
            <w:tcW w:w="720" w:type="dxa"/>
            <w:shd w:val="clear" w:color="auto" w:fill="auto"/>
            <w:vAlign w:val="center"/>
          </w:tcPr>
          <w:p w14:paraId="4D8D4D26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40D598A6" w14:textId="77777777" w:rsidR="00DF2CCB" w:rsidRPr="00EF2548" w:rsidRDefault="00EF2548" w:rsidP="00F21100">
            <w:pPr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  <w:r w:rsidRPr="00EF2548">
              <w:rPr>
                <w:b/>
                <w:snapToGrid/>
                <w:color w:val="000000"/>
                <w:sz w:val="22"/>
                <w:szCs w:val="22"/>
              </w:rPr>
              <w:t>Water pipe construction works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D4DFD15" w14:textId="77777777" w:rsidR="00DF2CCB" w:rsidRPr="00F21100" w:rsidRDefault="00DF2CCB" w:rsidP="00F21100">
            <w:pPr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13F2F43C" w14:textId="77777777" w:rsidR="00DF2CCB" w:rsidRPr="00F21100" w:rsidRDefault="00DF2CCB" w:rsidP="00F211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6A9060F6" w14:textId="77777777" w:rsidR="00DF2CCB" w:rsidRPr="00F21100" w:rsidRDefault="00DF2CCB" w:rsidP="00F21100">
            <w:pPr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3FE49BED" w14:textId="77777777" w:rsidR="00DF2CCB" w:rsidRPr="00F21100" w:rsidRDefault="00DF2CCB" w:rsidP="00F21100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EF2548" w:rsidRPr="00F21100" w14:paraId="77AC2204" w14:textId="77777777" w:rsidTr="008B2004">
        <w:tc>
          <w:tcPr>
            <w:tcW w:w="720" w:type="dxa"/>
            <w:shd w:val="clear" w:color="auto" w:fill="auto"/>
            <w:vAlign w:val="center"/>
          </w:tcPr>
          <w:p w14:paraId="40D07599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C546A" w14:textId="77777777" w:rsidR="00EF2548" w:rsidRPr="00EF2548" w:rsidRDefault="00EF2548" w:rsidP="00EF2548">
            <w:pPr>
              <w:jc w:val="both"/>
              <w:rPr>
                <w:snapToGrid/>
                <w:color w:val="000000"/>
                <w:sz w:val="22"/>
                <w:szCs w:val="22"/>
                <w:lang w:val="en-US"/>
              </w:rPr>
            </w:pPr>
            <w:r w:rsidRPr="00EF2548">
              <w:rPr>
                <w:color w:val="000000"/>
                <w:sz w:val="22"/>
                <w:szCs w:val="22"/>
              </w:rPr>
              <w:t>Destruction of the existing asphalt surface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F1436" w14:textId="77777777" w:rsidR="00EF2548" w:rsidRPr="00EF2548" w:rsidRDefault="00EF2548" w:rsidP="00EF2548">
            <w:pPr>
              <w:jc w:val="center"/>
              <w:rPr>
                <w:snapToGrid/>
                <w:color w:val="000000"/>
                <w:sz w:val="22"/>
                <w:szCs w:val="22"/>
                <w:lang w:val="en-US"/>
              </w:rPr>
            </w:pPr>
            <w:r w:rsidRPr="00EF2548"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F37542D" w14:textId="77777777" w:rsidR="00EF2548" w:rsidRPr="00F21100" w:rsidRDefault="00EF2548" w:rsidP="00EF2548">
            <w:pPr>
              <w:pStyle w:val="a5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52627" w14:textId="77777777" w:rsidR="00EF2548" w:rsidRPr="00EF2548" w:rsidRDefault="00EF2548" w:rsidP="00EF2548">
            <w:pPr>
              <w:jc w:val="center"/>
              <w:rPr>
                <w:snapToGrid/>
                <w:color w:val="000000"/>
                <w:sz w:val="22"/>
                <w:szCs w:val="22"/>
                <w:lang w:val="en-US"/>
              </w:rPr>
            </w:pPr>
            <w:r w:rsidRPr="00EF2548">
              <w:rPr>
                <w:color w:val="000000"/>
                <w:sz w:val="22"/>
                <w:szCs w:val="22"/>
              </w:rPr>
              <w:t>20.00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2B57DE9" w14:textId="77777777" w:rsidR="00EF2548" w:rsidRPr="00F21100" w:rsidRDefault="00EF2548" w:rsidP="00EF2548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EF2548" w:rsidRPr="00F21100" w14:paraId="53211640" w14:textId="77777777" w:rsidTr="008B2004">
        <w:tc>
          <w:tcPr>
            <w:tcW w:w="720" w:type="dxa"/>
            <w:shd w:val="clear" w:color="auto" w:fill="auto"/>
            <w:vAlign w:val="center"/>
          </w:tcPr>
          <w:p w14:paraId="21A1F382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78609" w14:textId="77777777" w:rsidR="00EF2548" w:rsidRPr="00EF2548" w:rsidRDefault="00EF2548" w:rsidP="00EF2548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Construction of a non-reinforced trench for polypropylene water pipe line with a depth of up to 2 m - mechanized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DEFE0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1FD8075E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F7452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1,650.00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93E3918" w14:textId="77777777" w:rsidR="00EF2548" w:rsidRPr="00F21100" w:rsidRDefault="00EF2548" w:rsidP="00EF2548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EF2548" w:rsidRPr="00F21100" w14:paraId="5A3B63C5" w14:textId="77777777" w:rsidTr="008B2004">
        <w:tc>
          <w:tcPr>
            <w:tcW w:w="720" w:type="dxa"/>
            <w:shd w:val="clear" w:color="auto" w:fill="auto"/>
            <w:vAlign w:val="center"/>
          </w:tcPr>
          <w:p w14:paraId="375F687F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8A268" w14:textId="387E313B" w:rsidR="00EF2548" w:rsidRPr="00EF2548" w:rsidRDefault="00EF2548" w:rsidP="00EF2548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 xml:space="preserve">Manual </w:t>
            </w:r>
            <w:r w:rsidR="00A4692D" w:rsidRPr="00EF2548">
              <w:rPr>
                <w:color w:val="000000"/>
                <w:sz w:val="22"/>
                <w:szCs w:val="22"/>
              </w:rPr>
              <w:t>levelling</w:t>
            </w:r>
            <w:r w:rsidRPr="00EF2548">
              <w:rPr>
                <w:color w:val="000000"/>
                <w:sz w:val="22"/>
                <w:szCs w:val="22"/>
              </w:rPr>
              <w:t xml:space="preserve"> of the trench bottom excavation for the polypropylene water pipe line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B5A8E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7B8DCD34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3902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50.00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BC5B19B" w14:textId="77777777" w:rsidR="00EF2548" w:rsidRPr="00F21100" w:rsidRDefault="00EF2548" w:rsidP="00EF2548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EF2548" w:rsidRPr="00F21100" w14:paraId="7FEE83D4" w14:textId="77777777" w:rsidTr="008B2004">
        <w:tc>
          <w:tcPr>
            <w:tcW w:w="720" w:type="dxa"/>
            <w:shd w:val="clear" w:color="auto" w:fill="auto"/>
            <w:vAlign w:val="center"/>
          </w:tcPr>
          <w:p w14:paraId="336F5BF4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75BE2" w14:textId="77777777" w:rsidR="00EF2548" w:rsidRPr="00EF2548" w:rsidRDefault="00EF2548" w:rsidP="00EF2548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Loading earth mass on a dump truck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CC870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5EA25AA2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BF2EA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347.00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F22AA5D" w14:textId="77777777" w:rsidR="00EF2548" w:rsidRPr="00F21100" w:rsidRDefault="00EF2548" w:rsidP="00EF2548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EF2548" w:rsidRPr="00F21100" w14:paraId="5B36D25C" w14:textId="77777777" w:rsidTr="008B2004">
        <w:tc>
          <w:tcPr>
            <w:tcW w:w="720" w:type="dxa"/>
            <w:shd w:val="clear" w:color="auto" w:fill="auto"/>
            <w:vAlign w:val="center"/>
          </w:tcPr>
          <w:p w14:paraId="7C44583E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A4905" w14:textId="77777777" w:rsidR="00EF2548" w:rsidRPr="00EF2548" w:rsidRDefault="00EF2548" w:rsidP="00EF2548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Transport of earth mass with a dump truck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2073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7B79E199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0944F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347.00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5D65991" w14:textId="77777777" w:rsidR="00EF2548" w:rsidRPr="00F21100" w:rsidRDefault="00EF2548" w:rsidP="00EF2548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EF2548" w:rsidRPr="00F21100" w14:paraId="13956F13" w14:textId="77777777" w:rsidTr="008B2004">
        <w:tc>
          <w:tcPr>
            <w:tcW w:w="720" w:type="dxa"/>
            <w:shd w:val="clear" w:color="auto" w:fill="auto"/>
            <w:vAlign w:val="center"/>
          </w:tcPr>
          <w:p w14:paraId="61310696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6894D" w14:textId="77777777" w:rsidR="00EF2548" w:rsidRPr="00EF2548" w:rsidRDefault="00EF2548" w:rsidP="00EF2548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 xml:space="preserve">Making a </w:t>
            </w:r>
            <w:proofErr w:type="spellStart"/>
            <w:r w:rsidRPr="00EF2548">
              <w:rPr>
                <w:color w:val="000000"/>
                <w:sz w:val="22"/>
                <w:szCs w:val="22"/>
              </w:rPr>
              <w:t>sandbed</w:t>
            </w:r>
            <w:proofErr w:type="spellEnd"/>
            <w:r w:rsidRPr="00EF2548">
              <w:rPr>
                <w:color w:val="000000"/>
                <w:sz w:val="22"/>
                <w:szCs w:val="22"/>
              </w:rPr>
              <w:t xml:space="preserve"> under the water pipe line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E1C86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02791A73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8521D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65.00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373266A" w14:textId="77777777" w:rsidR="00EF2548" w:rsidRPr="00F21100" w:rsidRDefault="00EF2548" w:rsidP="00EF2548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EF2548" w:rsidRPr="00F21100" w14:paraId="4E1C1DB3" w14:textId="77777777" w:rsidTr="008B2004">
        <w:tc>
          <w:tcPr>
            <w:tcW w:w="720" w:type="dxa"/>
            <w:shd w:val="clear" w:color="auto" w:fill="auto"/>
            <w:vAlign w:val="center"/>
          </w:tcPr>
          <w:p w14:paraId="66D2F914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A518D" w14:textId="77777777" w:rsidR="00EF2548" w:rsidRPr="00EF2548" w:rsidRDefault="00EF2548" w:rsidP="00EF2548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Making and breaking up formwork for supporting blocks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76D89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2B01D60C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4375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12.00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091A2B7" w14:textId="77777777" w:rsidR="00EF2548" w:rsidRPr="00F21100" w:rsidRDefault="00EF2548" w:rsidP="00EF2548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EF2548" w:rsidRPr="00F21100" w14:paraId="077A5576" w14:textId="77777777" w:rsidTr="008B2004">
        <w:tc>
          <w:tcPr>
            <w:tcW w:w="720" w:type="dxa"/>
            <w:shd w:val="clear" w:color="auto" w:fill="auto"/>
            <w:vAlign w:val="center"/>
          </w:tcPr>
          <w:p w14:paraId="27AC2B74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BC94D" w14:textId="77777777" w:rsidR="00EF2548" w:rsidRPr="00EF2548" w:rsidRDefault="00EF2548" w:rsidP="00EF2548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 xml:space="preserve">Pouring of concrete B12,5 with </w:t>
            </w:r>
            <w:proofErr w:type="spellStart"/>
            <w:r w:rsidRPr="00EF2548">
              <w:rPr>
                <w:color w:val="000000"/>
                <w:sz w:val="22"/>
                <w:szCs w:val="22"/>
              </w:rPr>
              <w:t>watertightness</w:t>
            </w:r>
            <w:proofErr w:type="spellEnd"/>
            <w:r w:rsidRPr="00EF2548">
              <w:rPr>
                <w:color w:val="000000"/>
                <w:sz w:val="22"/>
                <w:szCs w:val="22"/>
              </w:rPr>
              <w:t xml:space="preserve"> W = 0,4 for the construction of concrete supporting blocks of the water pipe supply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63F60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2A2A2CC1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AAA7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AB68789" w14:textId="77777777" w:rsidR="00EF2548" w:rsidRPr="00F21100" w:rsidRDefault="00EF2548" w:rsidP="00EF2548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EF2548" w:rsidRPr="00F21100" w14:paraId="4B23349E" w14:textId="77777777" w:rsidTr="008B2004">
        <w:tc>
          <w:tcPr>
            <w:tcW w:w="720" w:type="dxa"/>
            <w:shd w:val="clear" w:color="auto" w:fill="auto"/>
            <w:vAlign w:val="center"/>
          </w:tcPr>
          <w:p w14:paraId="7B2D364D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92F26" w14:textId="77777777" w:rsidR="00EF2548" w:rsidRPr="00EF2548" w:rsidRDefault="00EF2548" w:rsidP="00EF2548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Making a sand filling over the water pipe line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26BFD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7E55C909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E4F7D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262.00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C0C3393" w14:textId="77777777" w:rsidR="00EF2548" w:rsidRPr="00F21100" w:rsidRDefault="00EF2548" w:rsidP="00EF2548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EF2548" w:rsidRPr="00F21100" w14:paraId="78D27478" w14:textId="77777777" w:rsidTr="008B2004">
        <w:tc>
          <w:tcPr>
            <w:tcW w:w="720" w:type="dxa"/>
            <w:shd w:val="clear" w:color="auto" w:fill="auto"/>
            <w:vAlign w:val="center"/>
          </w:tcPr>
          <w:p w14:paraId="20A65D4E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62CE3" w14:textId="77777777" w:rsidR="00EF2548" w:rsidRPr="00EF2548" w:rsidRDefault="00EF2548" w:rsidP="00EF2548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Supply and installation of a signal bar with a metal thread above the water pipe line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D91A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5709B613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AEBDE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1,120.00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4576BE2" w14:textId="77777777" w:rsidR="00EF2548" w:rsidRPr="00F21100" w:rsidRDefault="00EF2548" w:rsidP="00EF2548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EF2548" w:rsidRPr="00F21100" w14:paraId="70332540" w14:textId="77777777" w:rsidTr="008B2004">
        <w:tc>
          <w:tcPr>
            <w:tcW w:w="720" w:type="dxa"/>
            <w:shd w:val="clear" w:color="auto" w:fill="auto"/>
            <w:vAlign w:val="center"/>
          </w:tcPr>
          <w:p w14:paraId="3CCB28B7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5B78A" w14:textId="77777777" w:rsidR="00EF2548" w:rsidRPr="00EF2548" w:rsidRDefault="00EF2548" w:rsidP="00EF2548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Making a reverse bank of tamped soft soil over the water pipe line to reach 98% of the initial soil density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F18C6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126567E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15A3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1,353.00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E37DD56" w14:textId="77777777" w:rsidR="00EF2548" w:rsidRPr="00F21100" w:rsidRDefault="00EF2548" w:rsidP="00EF2548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EF2548" w:rsidRPr="00F21100" w14:paraId="78150291" w14:textId="77777777" w:rsidTr="008B2004">
        <w:tc>
          <w:tcPr>
            <w:tcW w:w="720" w:type="dxa"/>
            <w:shd w:val="clear" w:color="auto" w:fill="auto"/>
            <w:vAlign w:val="center"/>
          </w:tcPr>
          <w:p w14:paraId="7528EF93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BC6D3" w14:textId="77777777" w:rsidR="00EF2548" w:rsidRPr="00EF2548" w:rsidRDefault="00EF2548" w:rsidP="00EF2548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Making a reverse bank of non-standard rubble over the water pipe line to reach 98% of the initial soil density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76033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3D824C4F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64CFD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12.00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EB45B07" w14:textId="77777777" w:rsidR="00EF2548" w:rsidRPr="00F21100" w:rsidRDefault="00EF2548" w:rsidP="00EF2548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EF2548" w:rsidRPr="00F21100" w14:paraId="39F4F4BA" w14:textId="77777777" w:rsidTr="008B2004">
        <w:tc>
          <w:tcPr>
            <w:tcW w:w="720" w:type="dxa"/>
            <w:shd w:val="clear" w:color="auto" w:fill="auto"/>
            <w:vAlign w:val="center"/>
          </w:tcPr>
          <w:p w14:paraId="59106B83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95DB9" w14:textId="77777777" w:rsidR="00EF2548" w:rsidRPr="00EF2548" w:rsidRDefault="00EF2548" w:rsidP="00EF2548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Delivery and installation of insulating tape for the water pipe line in the area of the supporting blocks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79F2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108BF66F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9B8AB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6.00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CAE68BD" w14:textId="77777777" w:rsidR="00EF2548" w:rsidRPr="00F21100" w:rsidRDefault="00EF2548" w:rsidP="00EF2548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EF2548" w:rsidRPr="00F21100" w14:paraId="53AAC2AD" w14:textId="77777777" w:rsidTr="008B2004">
        <w:tc>
          <w:tcPr>
            <w:tcW w:w="720" w:type="dxa"/>
            <w:shd w:val="clear" w:color="auto" w:fill="auto"/>
            <w:vAlign w:val="center"/>
          </w:tcPr>
          <w:p w14:paraId="055D43CA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E430B" w14:textId="77777777" w:rsidR="00EF2548" w:rsidRPr="00EF2548" w:rsidRDefault="00EF2548" w:rsidP="00EF2548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Connecting the water pipe line to the existing one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EF2B5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6391F14E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1839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3252935" w14:textId="77777777" w:rsidR="00EF2548" w:rsidRPr="00F21100" w:rsidRDefault="00EF2548" w:rsidP="00EF2548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EF2548" w:rsidRPr="00F21100" w14:paraId="7E778C4D" w14:textId="77777777" w:rsidTr="008B2004">
        <w:tc>
          <w:tcPr>
            <w:tcW w:w="720" w:type="dxa"/>
            <w:shd w:val="clear" w:color="auto" w:fill="auto"/>
            <w:vAlign w:val="center"/>
          </w:tcPr>
          <w:p w14:paraId="58FB3A51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91C9A" w14:textId="77777777" w:rsidR="00EF2548" w:rsidRPr="00EF2548" w:rsidRDefault="00EF2548" w:rsidP="00EF2548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Restoration of asphalt surface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B1E5B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56585DCD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36C06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20.00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F23E0E5" w14:textId="77777777" w:rsidR="00EF2548" w:rsidRPr="00F21100" w:rsidRDefault="00EF2548" w:rsidP="00EF2548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EF2548" w:rsidRPr="00F21100" w14:paraId="2E16CBAA" w14:textId="77777777" w:rsidTr="008B2004">
        <w:tc>
          <w:tcPr>
            <w:tcW w:w="720" w:type="dxa"/>
            <w:shd w:val="clear" w:color="auto" w:fill="auto"/>
            <w:vAlign w:val="center"/>
          </w:tcPr>
          <w:p w14:paraId="4B4E6161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18FAA660" w14:textId="77777777" w:rsidR="00EF2548" w:rsidRPr="00EF2548" w:rsidRDefault="00EF2548" w:rsidP="00EF2548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EF2548">
              <w:rPr>
                <w:b/>
                <w:color w:val="000000"/>
                <w:sz w:val="22"/>
                <w:szCs w:val="22"/>
              </w:rPr>
              <w:t>Water pipe installation works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2CD6613" w14:textId="77777777" w:rsidR="00EF2548" w:rsidRPr="00EF2548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7CD1BF64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15A84D07" w14:textId="77777777" w:rsidR="00EF2548" w:rsidRPr="00F21100" w:rsidRDefault="00EF2548" w:rsidP="00EF25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749FB605" w14:textId="77777777" w:rsidR="00EF2548" w:rsidRPr="00F21100" w:rsidRDefault="00EF2548" w:rsidP="00EF2548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5906A1" w:rsidRPr="00F21100" w14:paraId="1FFCF0F8" w14:textId="77777777" w:rsidTr="008B2004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FF753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FF855" w14:textId="77777777" w:rsidR="005906A1" w:rsidRPr="00EF2548" w:rsidRDefault="005906A1" w:rsidP="005906A1">
            <w:pPr>
              <w:jc w:val="both"/>
              <w:rPr>
                <w:snapToGrid/>
                <w:color w:val="000000"/>
                <w:sz w:val="22"/>
                <w:szCs w:val="22"/>
                <w:lang w:val="en-US"/>
              </w:rPr>
            </w:pPr>
            <w:r w:rsidRPr="00EF2548">
              <w:rPr>
                <w:color w:val="000000"/>
                <w:sz w:val="22"/>
                <w:szCs w:val="22"/>
              </w:rPr>
              <w:t>Delivery and installation of a polyethylene pipe ф90 PN10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68BCE" w14:textId="77777777" w:rsidR="005906A1" w:rsidRPr="00EF2548" w:rsidRDefault="005906A1" w:rsidP="005906A1">
            <w:pPr>
              <w:jc w:val="center"/>
              <w:rPr>
                <w:snapToGrid/>
                <w:color w:val="000000"/>
                <w:sz w:val="22"/>
                <w:szCs w:val="22"/>
                <w:lang w:val="en-US"/>
              </w:rPr>
            </w:pPr>
            <w:r w:rsidRPr="00EF2548"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1E16C8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D24B" w14:textId="77777777" w:rsidR="005906A1" w:rsidRPr="00C03E31" w:rsidRDefault="005906A1" w:rsidP="00C03E31">
            <w:pPr>
              <w:jc w:val="center"/>
              <w:rPr>
                <w:snapToGrid/>
                <w:color w:val="000000"/>
                <w:sz w:val="22"/>
                <w:szCs w:val="22"/>
                <w:lang w:val="en-US"/>
              </w:rPr>
            </w:pPr>
            <w:r w:rsidRPr="00C03E31">
              <w:rPr>
                <w:color w:val="000000"/>
                <w:sz w:val="22"/>
                <w:szCs w:val="22"/>
              </w:rPr>
              <w:t>1,105.00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C66B4" w14:textId="77777777" w:rsidR="005906A1" w:rsidRPr="00F21100" w:rsidRDefault="005906A1" w:rsidP="005906A1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5906A1" w:rsidRPr="00F21100" w14:paraId="268BB619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0AF2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1D03D" w14:textId="77777777" w:rsidR="005906A1" w:rsidRPr="00EF2548" w:rsidRDefault="005906A1" w:rsidP="005906A1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Delivery and installation of a T flange DN80 HDPE PN10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E8456" w14:textId="77777777" w:rsidR="005906A1" w:rsidRPr="00EF2548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7985B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AEFB" w14:textId="77777777" w:rsidR="005906A1" w:rsidRPr="00C03E31" w:rsidRDefault="005906A1" w:rsidP="00C03E31">
            <w:pPr>
              <w:jc w:val="center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19772" w14:textId="77777777" w:rsidR="005906A1" w:rsidRPr="00F21100" w:rsidRDefault="005906A1" w:rsidP="005906A1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5906A1" w:rsidRPr="00F21100" w14:paraId="50D91F6C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5B413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A1253" w14:textId="77777777" w:rsidR="005906A1" w:rsidRPr="00EF2548" w:rsidRDefault="005906A1" w:rsidP="005906A1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Delivery and installation of a flange DN80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DB054" w14:textId="77777777" w:rsidR="005906A1" w:rsidRPr="00EF2548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24681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7A15A" w14:textId="77777777" w:rsidR="005906A1" w:rsidRPr="00C03E31" w:rsidRDefault="005906A1" w:rsidP="00C03E31">
            <w:pPr>
              <w:jc w:val="center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5AF0C" w14:textId="77777777" w:rsidR="005906A1" w:rsidRPr="00F21100" w:rsidRDefault="005906A1" w:rsidP="005906A1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5906A1" w:rsidRPr="00F21100" w14:paraId="6BD83E0A" w14:textId="77777777" w:rsidTr="0052132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57B0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BD288" w14:textId="77777777" w:rsidR="005906A1" w:rsidRPr="00EF2548" w:rsidRDefault="005906A1" w:rsidP="005906A1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Delivery and installation of a blind flange DN80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86BD8" w14:textId="77777777" w:rsidR="005906A1" w:rsidRPr="00EF2548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E1F67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7567" w14:textId="77777777" w:rsidR="005906A1" w:rsidRPr="00C03E31" w:rsidRDefault="005906A1" w:rsidP="00C03E31">
            <w:pPr>
              <w:jc w:val="center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D919" w14:textId="77777777" w:rsidR="005906A1" w:rsidRPr="00F21100" w:rsidRDefault="005906A1" w:rsidP="005906A1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5906A1" w:rsidRPr="00F21100" w14:paraId="192BF093" w14:textId="77777777" w:rsidTr="0052132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0FB0B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BC71D" w14:textId="77777777" w:rsidR="005906A1" w:rsidRPr="00EF2548" w:rsidRDefault="005906A1" w:rsidP="005906A1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 xml:space="preserve">Delivery and installation of a flange </w:t>
            </w:r>
            <w:r w:rsidRPr="00EF2548">
              <w:rPr>
                <w:color w:val="000000"/>
                <w:sz w:val="22"/>
                <w:szCs w:val="22"/>
              </w:rPr>
              <w:lastRenderedPageBreak/>
              <w:t>transition piece for polypropylene pipes ф90/DN80 PN10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26F82" w14:textId="77777777" w:rsidR="005906A1" w:rsidRPr="00EF2548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lastRenderedPageBreak/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D578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578E" w14:textId="77777777" w:rsidR="005906A1" w:rsidRPr="00C03E31" w:rsidRDefault="005906A1" w:rsidP="00C03E31">
            <w:pPr>
              <w:jc w:val="center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998EA" w14:textId="77777777" w:rsidR="005906A1" w:rsidRPr="00F21100" w:rsidRDefault="005906A1" w:rsidP="005906A1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bookmarkEnd w:id="0"/>
      <w:tr w:rsidR="005906A1" w:rsidRPr="00F21100" w14:paraId="78B9C0CD" w14:textId="77777777" w:rsidTr="0052132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8E748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D919E" w14:textId="77777777" w:rsidR="005906A1" w:rsidRPr="00EF2548" w:rsidRDefault="005906A1" w:rsidP="005906A1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Delivery and installation of a resilient seated gate valve DN80 with flanges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839C9" w14:textId="77777777" w:rsidR="005906A1" w:rsidRPr="00EF2548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9043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435AE" w14:textId="77777777" w:rsidR="005906A1" w:rsidRPr="00C03E31" w:rsidRDefault="005906A1" w:rsidP="00C03E31">
            <w:pPr>
              <w:jc w:val="center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C17CB" w14:textId="77777777" w:rsidR="005906A1" w:rsidRPr="00F21100" w:rsidRDefault="005906A1" w:rsidP="005906A1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5906A1" w:rsidRPr="00F21100" w14:paraId="6F0D18A4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6748F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23DA2" w14:textId="77777777" w:rsidR="005906A1" w:rsidRPr="00EF2548" w:rsidRDefault="005906A1" w:rsidP="005906A1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Delivery and installation of a smooth elbow  ф90/45 PN10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345B9" w14:textId="77777777" w:rsidR="005906A1" w:rsidRPr="00EF2548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683D3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C29A4" w14:textId="77777777" w:rsidR="005906A1" w:rsidRPr="00C03E31" w:rsidRDefault="005906A1" w:rsidP="00C03E31">
            <w:pPr>
              <w:jc w:val="center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3.00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6594F" w14:textId="77777777" w:rsidR="005906A1" w:rsidRPr="00F21100" w:rsidRDefault="005906A1" w:rsidP="005906A1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5906A1" w:rsidRPr="00F21100" w14:paraId="5CE43A55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74FF9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40229" w14:textId="77777777" w:rsidR="005906A1" w:rsidRPr="00EF2548" w:rsidRDefault="005906A1" w:rsidP="005906A1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Delivery and installation of a smooth elbow  ф90/30 PN10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BEA7" w14:textId="77777777" w:rsidR="005906A1" w:rsidRPr="00EF2548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5EBC0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11D9" w14:textId="77777777" w:rsidR="005906A1" w:rsidRPr="00C03E31" w:rsidRDefault="005906A1" w:rsidP="00C03E31">
            <w:pPr>
              <w:jc w:val="center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3774B" w14:textId="77777777" w:rsidR="005906A1" w:rsidRPr="00F21100" w:rsidRDefault="005906A1" w:rsidP="005906A1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5906A1" w:rsidRPr="00F21100" w14:paraId="0FE8A289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EB0A9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C1ECE" w14:textId="77777777" w:rsidR="005906A1" w:rsidRPr="00EF2548" w:rsidRDefault="005906A1" w:rsidP="005906A1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Delivery and installation of a smooth elbow  ф90/20 PN10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6B5C1" w14:textId="77777777" w:rsidR="005906A1" w:rsidRPr="00EF2548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77CC2" w14:textId="77777777" w:rsidR="005906A1" w:rsidRPr="00F21100" w:rsidRDefault="005906A1" w:rsidP="005906A1">
            <w:pPr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21E7" w14:textId="77777777" w:rsidR="005906A1" w:rsidRPr="00C03E31" w:rsidRDefault="005906A1" w:rsidP="00C03E31">
            <w:pPr>
              <w:jc w:val="center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6.00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36578" w14:textId="77777777" w:rsidR="005906A1" w:rsidRPr="00F21100" w:rsidRDefault="005906A1" w:rsidP="005906A1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5906A1" w:rsidRPr="00F21100" w14:paraId="57236066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011A5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1E9C3" w14:textId="77777777" w:rsidR="005906A1" w:rsidRPr="00EF2548" w:rsidRDefault="005906A1" w:rsidP="005906A1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Delivery and installation of a smooth elbow  ф90/15 PN10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1E397" w14:textId="77777777" w:rsidR="005906A1" w:rsidRPr="00EF2548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4D42C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C7E4C" w14:textId="77777777" w:rsidR="005906A1" w:rsidRPr="00C03E31" w:rsidRDefault="005906A1" w:rsidP="00C03E31">
            <w:pPr>
              <w:jc w:val="center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4.00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5CE2D" w14:textId="77777777" w:rsidR="005906A1" w:rsidRPr="00F21100" w:rsidRDefault="005906A1" w:rsidP="005906A1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5906A1" w:rsidRPr="00F21100" w14:paraId="3818EBBE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610E9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364AE" w14:textId="77777777" w:rsidR="005906A1" w:rsidRPr="00EF2548" w:rsidRDefault="005906A1" w:rsidP="005906A1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Delivery and installation of rubber gaskets DN80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3D3B" w14:textId="77777777" w:rsidR="005906A1" w:rsidRPr="00EF2548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BDEFF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698F5" w14:textId="77777777" w:rsidR="005906A1" w:rsidRPr="00C03E31" w:rsidRDefault="005906A1" w:rsidP="00C03E31">
            <w:pPr>
              <w:jc w:val="center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5.00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6AAF2" w14:textId="77777777" w:rsidR="005906A1" w:rsidRPr="00F21100" w:rsidRDefault="005906A1" w:rsidP="005906A1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5906A1" w:rsidRPr="00F21100" w14:paraId="54532AEF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AC18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EE6EA" w14:textId="77777777" w:rsidR="005906A1" w:rsidRPr="00EF2548" w:rsidRDefault="005906A1" w:rsidP="005906A1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Delivery and installation of bolts and nuts for flange joints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82CF" w14:textId="77777777" w:rsidR="005906A1" w:rsidRPr="00EF2548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03D4F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CA7B5" w14:textId="77777777" w:rsidR="005906A1" w:rsidRPr="00C03E31" w:rsidRDefault="005906A1" w:rsidP="00C03E31">
            <w:pPr>
              <w:jc w:val="center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40.00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ACACE" w14:textId="77777777" w:rsidR="005906A1" w:rsidRPr="00F21100" w:rsidRDefault="005906A1" w:rsidP="005906A1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5906A1" w:rsidRPr="00F21100" w14:paraId="15C654EA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2F475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8F9FB" w14:textId="77777777" w:rsidR="005906A1" w:rsidRPr="00EF2548" w:rsidRDefault="005906A1" w:rsidP="005906A1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Delivery and installation of a PVC lining tube ф160 SN8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AE4FB" w14:textId="77777777" w:rsidR="005906A1" w:rsidRPr="00EF2548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4002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769DC" w14:textId="77777777" w:rsidR="005906A1" w:rsidRPr="00C03E31" w:rsidRDefault="005906A1" w:rsidP="00C03E31">
            <w:pPr>
              <w:jc w:val="center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11.00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14A7" w14:textId="77777777" w:rsidR="005906A1" w:rsidRPr="00F21100" w:rsidRDefault="005906A1" w:rsidP="005906A1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5906A1" w:rsidRPr="00F21100" w14:paraId="1CA53A55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44D6D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B462F" w14:textId="77777777" w:rsidR="005906A1" w:rsidRPr="00EF2548" w:rsidRDefault="005906A1" w:rsidP="005906A1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Testing of a water pipe line ф90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04F03" w14:textId="77777777" w:rsidR="005906A1" w:rsidRPr="00EF2548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43367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4E670" w14:textId="77777777" w:rsidR="005906A1" w:rsidRPr="00C03E31" w:rsidRDefault="005906A1" w:rsidP="00C03E31">
            <w:pPr>
              <w:jc w:val="center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1,105.00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91F5E" w14:textId="77777777" w:rsidR="005906A1" w:rsidRPr="00F21100" w:rsidRDefault="005906A1" w:rsidP="005906A1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5906A1" w:rsidRPr="00F21100" w14:paraId="74524207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98E9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5E7CD" w14:textId="77777777" w:rsidR="005906A1" w:rsidRPr="00EF2548" w:rsidRDefault="005906A1" w:rsidP="005906A1">
            <w:pPr>
              <w:jc w:val="both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Disinfection of a water pipe line ф90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A966A" w14:textId="77777777" w:rsidR="005906A1" w:rsidRPr="00EF2548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  <w:r w:rsidRPr="00EF2548"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92C90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F51CD" w14:textId="77777777" w:rsidR="005906A1" w:rsidRPr="00C03E31" w:rsidRDefault="005906A1" w:rsidP="00C03E31">
            <w:pPr>
              <w:jc w:val="center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1,105.00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F5DF" w14:textId="77777777" w:rsidR="005906A1" w:rsidRPr="00F21100" w:rsidRDefault="005906A1" w:rsidP="005906A1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5906A1" w:rsidRPr="00F21100" w14:paraId="6172D3E2" w14:textId="77777777" w:rsidTr="008B2004">
        <w:trPr>
          <w:trHeight w:val="3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9AFE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D0DF" w14:textId="77777777" w:rsidR="005906A1" w:rsidRPr="00C03E31" w:rsidRDefault="00C03E31" w:rsidP="005906A1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C03E31">
              <w:rPr>
                <w:b/>
                <w:color w:val="000000"/>
                <w:sz w:val="22"/>
                <w:szCs w:val="22"/>
              </w:rPr>
              <w:t>Construction works on water meter shaft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4E99B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2BD0B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B31C0" w14:textId="77777777" w:rsidR="005906A1" w:rsidRPr="00F21100" w:rsidRDefault="005906A1" w:rsidP="005906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07C07" w14:textId="77777777" w:rsidR="005906A1" w:rsidRPr="00F21100" w:rsidRDefault="005906A1" w:rsidP="005906A1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5E3E61BE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77FEA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2DC52" w14:textId="77777777" w:rsidR="008B2004" w:rsidRPr="00C03E31" w:rsidRDefault="008B2004" w:rsidP="008B2004">
            <w:pPr>
              <w:jc w:val="both"/>
              <w:rPr>
                <w:snapToGrid/>
                <w:color w:val="000000"/>
                <w:sz w:val="22"/>
                <w:szCs w:val="22"/>
                <w:lang w:val="en-US"/>
              </w:rPr>
            </w:pPr>
            <w:r w:rsidRPr="00C03E31">
              <w:rPr>
                <w:color w:val="000000"/>
                <w:sz w:val="22"/>
                <w:szCs w:val="22"/>
              </w:rPr>
              <w:t>Construction of a non-reinforced pit for water meter shaft with a depth of up to 3 m - mechanized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B04FD" w14:textId="77777777" w:rsidR="008B2004" w:rsidRPr="008B2004" w:rsidRDefault="008B2004" w:rsidP="008B2004">
            <w:pPr>
              <w:jc w:val="center"/>
              <w:rPr>
                <w:snapToGrid/>
                <w:color w:val="000000"/>
                <w:sz w:val="22"/>
                <w:szCs w:val="22"/>
                <w:lang w:val="en-US"/>
              </w:rPr>
            </w:pPr>
            <w:r w:rsidRPr="008B2004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B3787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DF2D0" w14:textId="77777777" w:rsidR="008B2004" w:rsidRPr="008B2004" w:rsidRDefault="008B2004" w:rsidP="008B2004">
            <w:pPr>
              <w:jc w:val="center"/>
              <w:rPr>
                <w:snapToGrid/>
                <w:color w:val="000000"/>
                <w:sz w:val="22"/>
                <w:szCs w:val="22"/>
                <w:lang w:val="en-US"/>
              </w:rPr>
            </w:pPr>
            <w:r w:rsidRPr="008B2004">
              <w:rPr>
                <w:color w:val="000000"/>
                <w:sz w:val="22"/>
                <w:szCs w:val="22"/>
              </w:rPr>
              <w:t>60.00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8D4F3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6C531DB8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88C6B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FA8E9" w14:textId="77777777" w:rsidR="008B2004" w:rsidRPr="00C03E31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 xml:space="preserve">Manual </w:t>
            </w:r>
            <w:proofErr w:type="spellStart"/>
            <w:r w:rsidRPr="00C03E31">
              <w:rPr>
                <w:color w:val="000000"/>
                <w:sz w:val="22"/>
                <w:szCs w:val="22"/>
              </w:rPr>
              <w:t>leveling</w:t>
            </w:r>
            <w:proofErr w:type="spellEnd"/>
            <w:r w:rsidRPr="00C03E31">
              <w:rPr>
                <w:color w:val="000000"/>
                <w:sz w:val="22"/>
                <w:szCs w:val="22"/>
              </w:rPr>
              <w:t xml:space="preserve"> of the trench bottom excavation for the polypropylene water pipe line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FA36D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D4996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CFA27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0.50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6AE9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1902493A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81B12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36BDE" w14:textId="77777777" w:rsidR="008B2004" w:rsidRPr="00C03E31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Loading earth mass on a dump truck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CD75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E8FC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9B91A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8.00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F0511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7BFCF0EA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E6B4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23672" w14:textId="77777777" w:rsidR="008B2004" w:rsidRPr="00C03E31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Transport of earth mass with a dump truck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8FF4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243A0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955F9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8.00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0D40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5F2602C3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348B4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8F96E" w14:textId="77777777" w:rsidR="008B2004" w:rsidRPr="00C03E31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Pouring of underlying concrete В7,5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DB35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76FD2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B6F6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0.50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CD5E1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1F6910D4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CD81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C9F75" w14:textId="77777777" w:rsidR="008B2004" w:rsidRPr="00C03E31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Construction and installation of reinforcement on the shaft bottom made of steel A III N8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E4449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9D3B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2ABE3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50.00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8F9EF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5F357D93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7680A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F0500" w14:textId="77777777" w:rsidR="008B2004" w:rsidRPr="00C03E31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Pouring of concrete В25 for the shaft bottom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FA1C7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DFB6D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35DE9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0.90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6A143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37835A09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625F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D948E" w14:textId="77777777" w:rsidR="008B2004" w:rsidRPr="00C03E31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Making a drainage prism from drainage gravel d = 20-40 mm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8CE5A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1001A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C222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0.13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D6047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21AB6D77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1E7BB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3D051" w14:textId="77777777" w:rsidR="008B2004" w:rsidRPr="00C03E31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Laying of geotextile with density 200 g/m2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B9608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8C3E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C1078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0C5A6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3DCDE161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320F5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42FB8" w14:textId="77777777" w:rsidR="008B2004" w:rsidRPr="00C03E31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Building a wall of concrete blocks of a strong cement solution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78214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62A1B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A3CC7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4.00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A7882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7BEF7ECB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C0B06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FB547" w14:textId="77777777" w:rsidR="008B2004" w:rsidRPr="00C03E31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Making of a cement coating on the walls and the bottom of the water meter shaft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A454E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17304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62457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28.00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E6D0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4C238EE8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02BA8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793E4" w14:textId="77777777" w:rsidR="008B2004" w:rsidRPr="00C03E31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Waterproofing the water meter shaft - three layers externally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14CB9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92634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B804B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20.00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8A32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0314F40A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45F5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E7C28" w14:textId="77777777" w:rsidR="008B2004" w:rsidRPr="00C03E31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 xml:space="preserve">Laying of </w:t>
            </w:r>
            <w:proofErr w:type="spellStart"/>
            <w:r w:rsidRPr="00C03E31">
              <w:rPr>
                <w:color w:val="000000"/>
                <w:sz w:val="22"/>
                <w:szCs w:val="22"/>
              </w:rPr>
              <w:t>Fibran</w:t>
            </w:r>
            <w:proofErr w:type="spellEnd"/>
            <w:r w:rsidRPr="00C03E31">
              <w:rPr>
                <w:color w:val="000000"/>
                <w:sz w:val="22"/>
                <w:szCs w:val="22"/>
              </w:rPr>
              <w:t xml:space="preserve"> 2 cm for protection of the waterproofing outside the water meter shaft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DCE31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C0877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D8ED3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16.00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D2D70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1AD682A8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2C8A5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857CE" w14:textId="77777777" w:rsidR="008B2004" w:rsidRPr="00C03E31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Production of a steel cover on a steel frame 90/150 cm - 3 pcs.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5FF7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75062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AEA5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100.00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FD120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31516365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F2C31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F2062" w14:textId="77777777" w:rsidR="008B2004" w:rsidRPr="00C03E31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 xml:space="preserve">Production of a wooden cover with thermal </w:t>
            </w:r>
            <w:r w:rsidRPr="00C03E31">
              <w:rPr>
                <w:color w:val="000000"/>
                <w:sz w:val="22"/>
                <w:szCs w:val="22"/>
              </w:rPr>
              <w:lastRenderedPageBreak/>
              <w:t>insulation for the water meter shaft 89/99 cm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F525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lastRenderedPageBreak/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E3FFF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9CBE9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0A547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4E92EC3B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EE1ED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C03E31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DF878" w14:textId="77777777" w:rsidR="008B2004" w:rsidRPr="00C03E31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Making a reverse bank of tamped soft soil over the water pipe line to reach 98% of the initial soil density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F659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9D9C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2504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52.50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BDEE6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highlight w:val="yellow"/>
                <w:lang w:eastAsia="sl-SI"/>
              </w:rPr>
            </w:pPr>
          </w:p>
        </w:tc>
      </w:tr>
      <w:tr w:rsidR="008B2004" w:rsidRPr="00F21100" w14:paraId="55B6FE26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D62A1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DBA77" w14:textId="77777777" w:rsidR="008B2004" w:rsidRPr="00C03E31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Sealing of the pipe openings in the concrete walls of the water meter shaft with elastic waterproof material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74A5C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C912D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A3873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46A19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0DC0D44C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D311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E1629" w14:textId="77777777" w:rsidR="008B2004" w:rsidRPr="00C03E31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C03E31">
              <w:rPr>
                <w:color w:val="000000"/>
                <w:sz w:val="22"/>
                <w:szCs w:val="22"/>
              </w:rPr>
              <w:t>Delivery and installation of cast iron steps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4D459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32FAD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8D56A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4.00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2DFB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2A737863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D207B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3E35A" w14:textId="77777777" w:rsidR="008B2004" w:rsidRPr="008B2004" w:rsidRDefault="008B2004" w:rsidP="008B2004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8B2004">
              <w:rPr>
                <w:b/>
                <w:color w:val="000000"/>
                <w:sz w:val="22"/>
                <w:szCs w:val="22"/>
              </w:rPr>
              <w:t>Installation works in the water meter shaft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5D747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081A0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9D83A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901B5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8B2004" w14:paraId="43E65481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3CB7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C0EA6" w14:textId="77777777" w:rsidR="008B2004" w:rsidRPr="008B2004" w:rsidRDefault="008B2004" w:rsidP="008B2004">
            <w:pPr>
              <w:jc w:val="both"/>
              <w:rPr>
                <w:snapToGrid/>
                <w:color w:val="000000"/>
                <w:sz w:val="22"/>
                <w:szCs w:val="22"/>
                <w:lang w:val="en-US"/>
              </w:rPr>
            </w:pPr>
            <w:r w:rsidRPr="008B2004">
              <w:rPr>
                <w:color w:val="000000"/>
                <w:sz w:val="22"/>
                <w:szCs w:val="22"/>
              </w:rPr>
              <w:t>Delivery and installation of a threaded transition piece ф90/3"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ACBCC" w14:textId="77777777" w:rsidR="008B2004" w:rsidRPr="008B2004" w:rsidRDefault="008B2004" w:rsidP="008B2004">
            <w:pPr>
              <w:jc w:val="center"/>
              <w:rPr>
                <w:snapToGrid/>
                <w:color w:val="000000"/>
                <w:sz w:val="22"/>
                <w:szCs w:val="22"/>
                <w:lang w:val="en-US"/>
              </w:rPr>
            </w:pPr>
            <w:r w:rsidRPr="008B2004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9349D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4D44" w14:textId="77777777" w:rsidR="008B2004" w:rsidRPr="008B2004" w:rsidRDefault="008B2004" w:rsidP="008B2004">
            <w:pPr>
              <w:jc w:val="center"/>
              <w:rPr>
                <w:snapToGrid/>
                <w:color w:val="000000"/>
                <w:sz w:val="22"/>
                <w:szCs w:val="22"/>
                <w:lang w:val="en-US"/>
              </w:rPr>
            </w:pPr>
            <w:r w:rsidRPr="008B2004">
              <w:rPr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50891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8B2004" w14:paraId="663342AA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4AAAF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4E2E7" w14:textId="77777777" w:rsidR="008B2004" w:rsidRPr="008B2004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Delivery and installation of zinc plated pipe 3"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7DFA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AB34B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D0510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0.50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EEDC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8B2004" w14:paraId="3BA04EA2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15E4E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BBB69" w14:textId="77777777" w:rsidR="008B2004" w:rsidRPr="008B2004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Delivery and installation of a threaded stopcock 3"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1AC9F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824CF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8D2E5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F6FC9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8B2004" w14:paraId="38C3489C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63D0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2D690" w14:textId="77777777" w:rsidR="008B2004" w:rsidRPr="008B2004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Delivery and installation of a stopcock with drain 3"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2E67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E1F6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76B37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8F672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8B2004" w14:paraId="10C71B66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5504E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68CB0" w14:textId="77777777" w:rsidR="008B2004" w:rsidRPr="008B2004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Delivery and installation of a threaded non-return valve 3"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0194C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75EE3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0020E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BB9E4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8B2004" w14:paraId="78D6C87F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2DB0A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9F74E" w14:textId="77777777" w:rsidR="008B2004" w:rsidRPr="008B2004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Delivery and installation of a threaded water meter filter 3"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16206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A4F3B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E561D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A5B8C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8B2004" w14:paraId="5FC791CC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6AAA5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D552E" w14:textId="77777777" w:rsidR="008B2004" w:rsidRPr="008B2004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 xml:space="preserve">Delivery and installation of a threaded water meter for cold water DN 50 </w:t>
            </w:r>
            <w:proofErr w:type="spellStart"/>
            <w:r w:rsidRPr="008B2004">
              <w:rPr>
                <w:color w:val="000000"/>
                <w:sz w:val="22"/>
                <w:szCs w:val="22"/>
              </w:rPr>
              <w:t>Qnom</w:t>
            </w:r>
            <w:proofErr w:type="spellEnd"/>
            <w:r w:rsidRPr="008B2004">
              <w:rPr>
                <w:color w:val="000000"/>
                <w:sz w:val="22"/>
                <w:szCs w:val="22"/>
              </w:rPr>
              <w:t>=15 m3/h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9AC5C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3FC7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9A6F6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6F3E7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8B2004" w14:paraId="3215A3BD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137C0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475CD" w14:textId="77777777" w:rsidR="008B2004" w:rsidRPr="008B2004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Delivery and installation of a nipple union reducer ф3"/ф2"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0406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F501E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164FD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C32CB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8B2004" w14:paraId="54A1F95B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7453B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7AB6B" w14:textId="77777777" w:rsidR="008B2004" w:rsidRPr="008B2004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Delivery and installation of a pipe-connection ф3" for a water meter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108C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FB22F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3A17F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58AF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8B2004" w14:paraId="51FF08A2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7F258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91574" w14:textId="77777777" w:rsidR="008B2004" w:rsidRPr="008B2004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Delivery and installation of PVC pipe ф110 х 3.2 mm including fittings and auxiliary materials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8C3CD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864F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61B0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56060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8B2004" w14:paraId="63D0FA06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B0CD0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758DD" w14:textId="77777777" w:rsidR="008B2004" w:rsidRPr="008B2004" w:rsidRDefault="008B2004" w:rsidP="008B2004">
            <w:pPr>
              <w:jc w:val="both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Delivery and installation of floor drainage ф100 with bottom drain an built-in non-return valve including auxiliary materials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8CCD6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pcs.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EA35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3E37F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  <w:r w:rsidRPr="008B2004">
              <w:rPr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B5CB9" w14:textId="77777777" w:rsidR="008B2004" w:rsidRPr="008B2004" w:rsidRDefault="008B2004" w:rsidP="008B2004">
            <w:pPr>
              <w:jc w:val="center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7FF9FDC5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4A9B2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F29F" w14:textId="77777777" w:rsidR="008B2004" w:rsidRPr="00F21100" w:rsidRDefault="008B2004" w:rsidP="008B200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TOTAL IN BGN VAT EXCL.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E993F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38CF9068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96062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36626" w14:textId="77777777" w:rsidR="008B2004" w:rsidRPr="00F21100" w:rsidRDefault="008B2004" w:rsidP="008B200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VAT 20%: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6B69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8B2004" w:rsidRPr="00F21100" w14:paraId="31381DA3" w14:textId="77777777" w:rsidTr="008B20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3C9E4" w14:textId="77777777" w:rsidR="008B2004" w:rsidRPr="00F21100" w:rsidRDefault="008B2004" w:rsidP="008B20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D6B7" w14:textId="77777777" w:rsidR="008B2004" w:rsidRPr="00F21100" w:rsidRDefault="008B2004" w:rsidP="008B200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TOTAL IN BGN VAT INCL.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E0EBB" w14:textId="77777777" w:rsidR="008B2004" w:rsidRPr="00F21100" w:rsidRDefault="008B2004" w:rsidP="008B2004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</w:tbl>
    <w:p w14:paraId="50D5B9E0" w14:textId="77777777" w:rsidR="00DF2CCB" w:rsidRDefault="00DF2CCB" w:rsidP="00DF2CCB">
      <w:pPr>
        <w:ind w:left="720" w:hanging="720"/>
        <w:jc w:val="both"/>
        <w:rPr>
          <w:b/>
          <w:color w:val="000000"/>
          <w:sz w:val="22"/>
          <w:szCs w:val="22"/>
        </w:rPr>
      </w:pPr>
    </w:p>
    <w:p w14:paraId="3248A10A" w14:textId="77777777" w:rsidR="007E21C8" w:rsidRDefault="007E21C8" w:rsidP="00DF2CCB">
      <w:pPr>
        <w:ind w:left="720" w:hanging="720"/>
        <w:jc w:val="both"/>
        <w:rPr>
          <w:b/>
          <w:color w:val="000000"/>
          <w:sz w:val="22"/>
          <w:szCs w:val="22"/>
        </w:rPr>
      </w:pPr>
    </w:p>
    <w:p w14:paraId="2756CE3B" w14:textId="77777777" w:rsidR="002C5892" w:rsidRPr="002C5892" w:rsidRDefault="002C5892" w:rsidP="00DF2CCB">
      <w:pPr>
        <w:ind w:left="720" w:hanging="720"/>
        <w:jc w:val="both"/>
        <w:rPr>
          <w:b/>
          <w:color w:val="000000"/>
          <w:sz w:val="22"/>
          <w:szCs w:val="22"/>
        </w:rPr>
      </w:pPr>
    </w:p>
    <w:p w14:paraId="48327FDB" w14:textId="77777777"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p w14:paraId="545FC6E7" w14:textId="77777777" w:rsidR="00F9163A" w:rsidRPr="00E725FE" w:rsidRDefault="004F0A96" w:rsidP="004F0A96">
      <w:pPr>
        <w:tabs>
          <w:tab w:val="left" w:pos="3969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For tenderer:</w:t>
      </w:r>
    </w:p>
    <w:sectPr w:rsidR="00F9163A" w:rsidRPr="00E725FE" w:rsidSect="008B2004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080" w:left="1417" w:header="708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938AF" w14:textId="77777777" w:rsidR="00BD2AC8" w:rsidRPr="00E725FE" w:rsidRDefault="00BD2AC8">
      <w:r w:rsidRPr="00E725FE">
        <w:separator/>
      </w:r>
    </w:p>
  </w:endnote>
  <w:endnote w:type="continuationSeparator" w:id="0">
    <w:p w14:paraId="13FEE0D6" w14:textId="77777777" w:rsidR="00BD2AC8" w:rsidRPr="00E725FE" w:rsidRDefault="00BD2AC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7A1B7" w14:textId="77777777" w:rsidR="00DC7084" w:rsidRDefault="00DC7084">
    <w:pPr>
      <w:pStyle w:val="a3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</w:t>
    </w:r>
    <w:r>
      <w:rPr>
        <w:rStyle w:val="ac"/>
      </w:rPr>
      <w:fldChar w:fldCharType="end"/>
    </w:r>
  </w:p>
  <w:p w14:paraId="1B83C02D" w14:textId="77777777" w:rsidR="00DC7084" w:rsidRDefault="00DC70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D12D9" w14:textId="77777777" w:rsidR="00F55EB3" w:rsidRDefault="00F55EB3" w:rsidP="00F55EB3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</w:rPr>
    </w:pPr>
    <w:r w:rsidRPr="00A05163">
      <w:rPr>
        <w:b/>
        <w:i/>
        <w:iCs/>
        <w:sz w:val="18"/>
        <w:lang w:val="en-US"/>
      </w:rPr>
      <w:t>The project is co-funded by the European Union through the Interreg-IPA CBC Bulgaria</w:t>
    </w:r>
    <w:r w:rsidRPr="00A05163">
      <w:rPr>
        <w:rFonts w:hint="eastAsia"/>
        <w:b/>
        <w:i/>
        <w:iCs/>
        <w:sz w:val="18"/>
        <w:lang w:val="en-US"/>
      </w:rPr>
      <w:t>–</w:t>
    </w:r>
    <w:r w:rsidRPr="00A05163">
      <w:rPr>
        <w:b/>
        <w:i/>
        <w:iCs/>
        <w:sz w:val="18"/>
        <w:lang w:val="en-US"/>
      </w:rPr>
      <w:t xml:space="preserve">Turkey </w:t>
    </w:r>
    <w:proofErr w:type="spellStart"/>
    <w:r w:rsidRPr="00A05163">
      <w:rPr>
        <w:b/>
        <w:i/>
        <w:iCs/>
        <w:sz w:val="18"/>
        <w:lang w:val="en-US"/>
      </w:rPr>
      <w:t>Programme</w:t>
    </w:r>
    <w:proofErr w:type="spellEnd"/>
  </w:p>
  <w:p w14:paraId="1A68F3B0" w14:textId="77777777" w:rsidR="004C505D" w:rsidRPr="00063B37" w:rsidRDefault="007D26CA" w:rsidP="008B2004">
    <w:pPr>
      <w:pStyle w:val="a3"/>
      <w:tabs>
        <w:tab w:val="clear" w:pos="4320"/>
        <w:tab w:val="clear" w:pos="8640"/>
        <w:tab w:val="left" w:pos="2565"/>
        <w:tab w:val="right" w:pos="9214"/>
      </w:tabs>
      <w:ind w:right="5"/>
      <w:rPr>
        <w:rStyle w:val="ac"/>
        <w:sz w:val="18"/>
        <w:szCs w:val="18"/>
      </w:rPr>
    </w:pPr>
    <w:r>
      <w:rPr>
        <w:b/>
        <w:sz w:val="18"/>
      </w:rPr>
      <w:t>July 2019</w:t>
    </w:r>
    <w:r w:rsidR="004C505D" w:rsidRPr="00063B37">
      <w:rPr>
        <w:sz w:val="18"/>
        <w:szCs w:val="18"/>
      </w:rPr>
      <w:tab/>
    </w:r>
    <w:r w:rsidR="008B2004">
      <w:rPr>
        <w:sz w:val="18"/>
        <w:szCs w:val="18"/>
      </w:rPr>
      <w:tab/>
    </w:r>
    <w:r w:rsidR="004C505D" w:rsidRPr="00063B37">
      <w:rPr>
        <w:sz w:val="18"/>
        <w:szCs w:val="18"/>
      </w:rPr>
      <w:t xml:space="preserve">Page </w:t>
    </w:r>
    <w:r w:rsidR="004C505D" w:rsidRPr="00063B37">
      <w:rPr>
        <w:rStyle w:val="ac"/>
        <w:sz w:val="18"/>
        <w:szCs w:val="18"/>
      </w:rPr>
      <w:fldChar w:fldCharType="begin"/>
    </w:r>
    <w:r w:rsidR="004C505D" w:rsidRPr="00063B37">
      <w:rPr>
        <w:rStyle w:val="ac"/>
        <w:sz w:val="18"/>
        <w:szCs w:val="18"/>
      </w:rPr>
      <w:instrText xml:space="preserve"> PAGE </w:instrText>
    </w:r>
    <w:r w:rsidR="004C505D" w:rsidRPr="00063B37">
      <w:rPr>
        <w:rStyle w:val="ac"/>
        <w:sz w:val="18"/>
        <w:szCs w:val="18"/>
      </w:rPr>
      <w:fldChar w:fldCharType="separate"/>
    </w:r>
    <w:r w:rsidR="008B2004">
      <w:rPr>
        <w:rStyle w:val="ac"/>
        <w:noProof/>
        <w:sz w:val="18"/>
        <w:szCs w:val="18"/>
      </w:rPr>
      <w:t>1</w:t>
    </w:r>
    <w:r w:rsidR="004C505D" w:rsidRPr="00063B37">
      <w:rPr>
        <w:rStyle w:val="ac"/>
        <w:sz w:val="18"/>
        <w:szCs w:val="18"/>
      </w:rPr>
      <w:fldChar w:fldCharType="end"/>
    </w:r>
    <w:r w:rsidR="004C505D" w:rsidRPr="00063B37">
      <w:rPr>
        <w:rStyle w:val="ac"/>
        <w:sz w:val="18"/>
        <w:szCs w:val="18"/>
      </w:rPr>
      <w:t xml:space="preserve"> of </w:t>
    </w:r>
    <w:r w:rsidR="004C505D" w:rsidRPr="00063B37">
      <w:rPr>
        <w:rStyle w:val="ac"/>
        <w:sz w:val="18"/>
        <w:szCs w:val="18"/>
      </w:rPr>
      <w:fldChar w:fldCharType="begin"/>
    </w:r>
    <w:r w:rsidR="004C505D" w:rsidRPr="00063B37">
      <w:rPr>
        <w:rStyle w:val="ac"/>
        <w:sz w:val="18"/>
        <w:szCs w:val="18"/>
      </w:rPr>
      <w:instrText xml:space="preserve"> NUMPAGES </w:instrText>
    </w:r>
    <w:r w:rsidR="004C505D" w:rsidRPr="00063B37">
      <w:rPr>
        <w:rStyle w:val="ac"/>
        <w:sz w:val="18"/>
        <w:szCs w:val="18"/>
      </w:rPr>
      <w:fldChar w:fldCharType="separate"/>
    </w:r>
    <w:r w:rsidR="008B2004">
      <w:rPr>
        <w:rStyle w:val="ac"/>
        <w:noProof/>
        <w:sz w:val="18"/>
        <w:szCs w:val="18"/>
      </w:rPr>
      <w:t>4</w:t>
    </w:r>
    <w:r w:rsidR="004C505D" w:rsidRPr="00063B37">
      <w:rPr>
        <w:rStyle w:val="ac"/>
        <w:sz w:val="18"/>
        <w:szCs w:val="18"/>
      </w:rPr>
      <w:fldChar w:fldCharType="end"/>
    </w:r>
  </w:p>
  <w:p w14:paraId="47596D4C" w14:textId="77777777" w:rsidR="004C505D" w:rsidRPr="00E725FE" w:rsidRDefault="004C505D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BC639" w14:textId="77777777" w:rsidR="00DC7084" w:rsidRPr="00E725FE" w:rsidRDefault="00FF6C38" w:rsidP="00D50985">
    <w:pPr>
      <w:pStyle w:val="a3"/>
      <w:tabs>
        <w:tab w:val="clear" w:pos="4320"/>
        <w:tab w:val="clear" w:pos="8640"/>
        <w:tab w:val="right" w:pos="9072"/>
      </w:tabs>
      <w:ind w:right="-227"/>
      <w:rPr>
        <w:rStyle w:val="ac"/>
        <w:sz w:val="18"/>
        <w:szCs w:val="18"/>
      </w:rPr>
    </w:pPr>
    <w:r>
      <w:rPr>
        <w:rStyle w:val="ac"/>
        <w:b/>
        <w:sz w:val="18"/>
        <w:szCs w:val="18"/>
      </w:rPr>
      <w:t>2015</w:t>
    </w:r>
    <w:r w:rsidR="00DC7084" w:rsidRPr="00E725FE">
      <w:rPr>
        <w:rStyle w:val="ac"/>
        <w:sz w:val="18"/>
        <w:szCs w:val="18"/>
      </w:rPr>
      <w:tab/>
      <w:t xml:space="preserve">Page </w:t>
    </w:r>
    <w:r w:rsidR="00DC7084" w:rsidRPr="00E725FE">
      <w:rPr>
        <w:rStyle w:val="ac"/>
        <w:sz w:val="18"/>
        <w:szCs w:val="18"/>
      </w:rPr>
      <w:fldChar w:fldCharType="begin"/>
    </w:r>
    <w:r w:rsidR="00DC7084" w:rsidRPr="00E725FE">
      <w:rPr>
        <w:rStyle w:val="ac"/>
        <w:sz w:val="18"/>
        <w:szCs w:val="18"/>
      </w:rPr>
      <w:instrText xml:space="preserve"> PAGE </w:instrText>
    </w:r>
    <w:r w:rsidR="00DC7084" w:rsidRPr="00E725FE">
      <w:rPr>
        <w:rStyle w:val="ac"/>
        <w:sz w:val="18"/>
        <w:szCs w:val="18"/>
      </w:rPr>
      <w:fldChar w:fldCharType="separate"/>
    </w:r>
    <w:r w:rsidR="000E27AD">
      <w:rPr>
        <w:rStyle w:val="ac"/>
        <w:noProof/>
        <w:sz w:val="18"/>
        <w:szCs w:val="18"/>
      </w:rPr>
      <w:t>9</w:t>
    </w:r>
    <w:r w:rsidR="00DC7084" w:rsidRPr="00E725FE">
      <w:rPr>
        <w:rStyle w:val="ac"/>
        <w:sz w:val="18"/>
        <w:szCs w:val="18"/>
      </w:rPr>
      <w:fldChar w:fldCharType="end"/>
    </w:r>
    <w:r w:rsidR="00DC7084" w:rsidRPr="00E725FE">
      <w:rPr>
        <w:rStyle w:val="ac"/>
        <w:sz w:val="18"/>
        <w:szCs w:val="18"/>
      </w:rPr>
      <w:t xml:space="preserve"> of </w:t>
    </w:r>
    <w:r w:rsidR="00DC7084" w:rsidRPr="00E725FE">
      <w:rPr>
        <w:rStyle w:val="ac"/>
        <w:sz w:val="18"/>
        <w:szCs w:val="18"/>
      </w:rPr>
      <w:fldChar w:fldCharType="begin"/>
    </w:r>
    <w:r w:rsidR="00DC7084" w:rsidRPr="00E725FE">
      <w:rPr>
        <w:rStyle w:val="ac"/>
        <w:sz w:val="18"/>
        <w:szCs w:val="18"/>
      </w:rPr>
      <w:instrText xml:space="preserve"> NUMPAGES </w:instrText>
    </w:r>
    <w:r w:rsidR="00DC7084" w:rsidRPr="00E725FE">
      <w:rPr>
        <w:rStyle w:val="ac"/>
        <w:sz w:val="18"/>
        <w:szCs w:val="18"/>
      </w:rPr>
      <w:fldChar w:fldCharType="separate"/>
    </w:r>
    <w:r w:rsidR="000E27AD">
      <w:rPr>
        <w:rStyle w:val="ac"/>
        <w:noProof/>
        <w:sz w:val="18"/>
        <w:szCs w:val="18"/>
      </w:rPr>
      <w:t>9</w:t>
    </w:r>
    <w:r w:rsidR="00DC7084" w:rsidRPr="00E725FE">
      <w:rPr>
        <w:rStyle w:val="ac"/>
        <w:sz w:val="18"/>
        <w:szCs w:val="18"/>
      </w:rPr>
      <w:fldChar w:fldCharType="end"/>
    </w:r>
  </w:p>
  <w:p w14:paraId="2C305D90" w14:textId="77777777" w:rsidR="00DC7084" w:rsidRPr="00D50985" w:rsidRDefault="00DC7084" w:rsidP="00D50985">
    <w:pPr>
      <w:pStyle w:val="a3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E7DA8" w14:textId="77777777" w:rsidR="00BD2AC8" w:rsidRPr="00E725FE" w:rsidRDefault="00BD2AC8">
      <w:r w:rsidRPr="00E725FE">
        <w:separator/>
      </w:r>
    </w:p>
  </w:footnote>
  <w:footnote w:type="continuationSeparator" w:id="0">
    <w:p w14:paraId="718E9F63" w14:textId="77777777" w:rsidR="00BD2AC8" w:rsidRPr="00E725FE" w:rsidRDefault="00BD2AC8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6" w:type="dxa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F55EB3" w:rsidRPr="00A05163" w14:paraId="704E168B" w14:textId="77777777" w:rsidTr="00753F04">
      <w:tc>
        <w:tcPr>
          <w:tcW w:w="5598" w:type="dxa"/>
          <w:shd w:val="clear" w:color="auto" w:fill="auto"/>
        </w:tcPr>
        <w:p w14:paraId="1D8D8D19" w14:textId="77777777" w:rsidR="00F55EB3" w:rsidRPr="00A05163" w:rsidRDefault="00253E29" w:rsidP="00F55EB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noProof/>
              <w:snapToGrid/>
              <w:sz w:val="20"/>
              <w:lang w:val="en-US"/>
            </w:rPr>
            <w:pict w14:anchorId="71D2462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223.5pt;height:69pt;visibility:visibl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14:paraId="5A6AACFB" w14:textId="77777777" w:rsidR="00F55EB3" w:rsidRPr="00A05163" w:rsidRDefault="00F55EB3" w:rsidP="00F55EB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497AFC2A" w14:textId="77777777" w:rsidR="00F55EB3" w:rsidRPr="00A05163" w:rsidRDefault="00F55EB3" w:rsidP="00F55EB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0E28AF14" w14:textId="77777777" w:rsidR="00F55EB3" w:rsidRPr="00A05163" w:rsidRDefault="00F55EB3" w:rsidP="00F55EB3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49D1413F" w14:textId="77777777" w:rsidR="00F55EB3" w:rsidRPr="00A05163" w:rsidRDefault="00F55EB3" w:rsidP="00F55EB3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7BC0E374" w14:textId="77777777" w:rsidR="00F55EB3" w:rsidRPr="00A05163" w:rsidRDefault="00F55EB3" w:rsidP="00F55EB3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31E2C39D" w14:textId="77777777" w:rsidR="00F55EB3" w:rsidRPr="00A05163" w:rsidRDefault="00F55EB3" w:rsidP="00F55EB3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14:paraId="63773C38" w14:textId="77777777" w:rsidR="00F55EB3" w:rsidRPr="00A05163" w:rsidRDefault="00253E29" w:rsidP="00F55EB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rFonts w:ascii="Arial" w:hAnsi="Arial" w:cs="Arial"/>
              <w:bCs/>
              <w:noProof/>
              <w:snapToGrid/>
              <w:sz w:val="22"/>
              <w:szCs w:val="22"/>
              <w:lang w:val="bg-BG" w:eastAsia="bg-BG"/>
            </w:rPr>
            <w:pict w14:anchorId="2AD9B23D">
              <v:shape id="Picture 2" o:spid="_x0000_i1026" type="#_x0000_t75" alt="Описание: European Emblem" style="width:83.5pt;height:55.5pt;visibility:visible">
                <v:imagedata r:id="rId2" o:title="European Emblem"/>
              </v:shape>
            </w:pict>
          </w:r>
        </w:p>
      </w:tc>
    </w:tr>
  </w:tbl>
  <w:p w14:paraId="7EC3C967" w14:textId="77777777" w:rsidR="00F55EB3" w:rsidRPr="00A05163" w:rsidRDefault="00F55EB3" w:rsidP="00F55EB3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A05163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  <w:p w14:paraId="38127ED0" w14:textId="77777777" w:rsidR="002D08CE" w:rsidRDefault="002D08C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3088C" w14:textId="77777777" w:rsidR="00DC7084" w:rsidRDefault="00DC7084" w:rsidP="0058294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57F4E"/>
    <w:rsid w:val="00060C1E"/>
    <w:rsid w:val="00061753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4F35"/>
    <w:rsid w:val="0017313B"/>
    <w:rsid w:val="00173310"/>
    <w:rsid w:val="0018016C"/>
    <w:rsid w:val="00195A6F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53E29"/>
    <w:rsid w:val="00286A23"/>
    <w:rsid w:val="00290DA9"/>
    <w:rsid w:val="00295092"/>
    <w:rsid w:val="002B13F4"/>
    <w:rsid w:val="002C5892"/>
    <w:rsid w:val="002D08CE"/>
    <w:rsid w:val="002D0A12"/>
    <w:rsid w:val="002D0B03"/>
    <w:rsid w:val="002D1622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254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0A96"/>
    <w:rsid w:val="004F3026"/>
    <w:rsid w:val="004F7629"/>
    <w:rsid w:val="0051365E"/>
    <w:rsid w:val="0052132F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06A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60395C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13D9"/>
    <w:rsid w:val="006610EB"/>
    <w:rsid w:val="00664730"/>
    <w:rsid w:val="00664D74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C4752"/>
    <w:rsid w:val="006D7273"/>
    <w:rsid w:val="006D7D6D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244DE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A1685"/>
    <w:rsid w:val="007A5020"/>
    <w:rsid w:val="007A7CE0"/>
    <w:rsid w:val="007B00C5"/>
    <w:rsid w:val="007C1642"/>
    <w:rsid w:val="007D26CA"/>
    <w:rsid w:val="007D5114"/>
    <w:rsid w:val="007D6CD0"/>
    <w:rsid w:val="007D732B"/>
    <w:rsid w:val="007E0FED"/>
    <w:rsid w:val="007E21C8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004"/>
    <w:rsid w:val="008B2A73"/>
    <w:rsid w:val="008B623E"/>
    <w:rsid w:val="008B7FF3"/>
    <w:rsid w:val="008C3721"/>
    <w:rsid w:val="008D53E2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4692D"/>
    <w:rsid w:val="00A5429D"/>
    <w:rsid w:val="00A77ECC"/>
    <w:rsid w:val="00A808D3"/>
    <w:rsid w:val="00A81065"/>
    <w:rsid w:val="00A8166C"/>
    <w:rsid w:val="00A95B3E"/>
    <w:rsid w:val="00AA1F74"/>
    <w:rsid w:val="00AA3FEC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5E6D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AC8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3E31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35732"/>
    <w:rsid w:val="00D45870"/>
    <w:rsid w:val="00D50985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D5030"/>
    <w:rsid w:val="00DE0B72"/>
    <w:rsid w:val="00DF2CCB"/>
    <w:rsid w:val="00DF3894"/>
    <w:rsid w:val="00DF4416"/>
    <w:rsid w:val="00DF4447"/>
    <w:rsid w:val="00DF5742"/>
    <w:rsid w:val="00DF6D51"/>
    <w:rsid w:val="00E01657"/>
    <w:rsid w:val="00E06F05"/>
    <w:rsid w:val="00E12E18"/>
    <w:rsid w:val="00E142EC"/>
    <w:rsid w:val="00E246FA"/>
    <w:rsid w:val="00E24C7B"/>
    <w:rsid w:val="00E356C8"/>
    <w:rsid w:val="00E375CC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D74"/>
    <w:rsid w:val="00ED447C"/>
    <w:rsid w:val="00ED7BD7"/>
    <w:rsid w:val="00EE1B77"/>
    <w:rsid w:val="00EE24B3"/>
    <w:rsid w:val="00EE3905"/>
    <w:rsid w:val="00EE73C2"/>
    <w:rsid w:val="00EF1608"/>
    <w:rsid w:val="00EF2548"/>
    <w:rsid w:val="00EF4FC3"/>
    <w:rsid w:val="00F04815"/>
    <w:rsid w:val="00F04CE7"/>
    <w:rsid w:val="00F13755"/>
    <w:rsid w:val="00F21100"/>
    <w:rsid w:val="00F25C13"/>
    <w:rsid w:val="00F50AFB"/>
    <w:rsid w:val="00F54C76"/>
    <w:rsid w:val="00F55EB3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."/>
  <w:listSeparator w:val=","/>
  <w14:docId w14:val="5F48EE5D"/>
  <w15:chartTrackingRefBased/>
  <w15:docId w15:val="{DBE32093-28B8-4E54-9183-4D4EF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napToGrid w:val="0"/>
      <w:sz w:val="24"/>
      <w:lang w:val="en-GB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link w:val="20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link w:val="a4"/>
    <w:pPr>
      <w:tabs>
        <w:tab w:val="center" w:pos="4320"/>
        <w:tab w:val="right" w:pos="8640"/>
      </w:tabs>
    </w:pPr>
  </w:style>
  <w:style w:type="paragraph" w:styleId="a5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6">
    <w:name w:val="Body Text Indent"/>
    <w:basedOn w:val="a"/>
    <w:pPr>
      <w:jc w:val="both"/>
    </w:pPr>
    <w:rPr>
      <w:sz w:val="22"/>
    </w:rPr>
  </w:style>
  <w:style w:type="paragraph" w:styleId="a7">
    <w:name w:val="Body Text"/>
    <w:basedOn w:val="a"/>
    <w:pPr>
      <w:jc w:val="both"/>
    </w:pPr>
    <w:rPr>
      <w:rFonts w:ascii="Arial" w:hAnsi="Arial"/>
      <w:sz w:val="20"/>
    </w:rPr>
  </w:style>
  <w:style w:type="paragraph" w:styleId="a8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page number"/>
    <w:basedOn w:val="a0"/>
  </w:style>
  <w:style w:type="paragraph" w:styleId="ad">
    <w:name w:val="Plain Text"/>
    <w:basedOn w:val="a"/>
    <w:rPr>
      <w:rFonts w:ascii="Courier New" w:hAnsi="Courier New"/>
      <w:sz w:val="20"/>
    </w:rPr>
  </w:style>
  <w:style w:type="character" w:styleId="ae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f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0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1">
    <w:name w:val="Balloon Text"/>
    <w:basedOn w:val="a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7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3">
    <w:name w:val="Document Map"/>
    <w:basedOn w:val="a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"/>
    <w:next w:val="a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2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"/>
    <w:next w:val="a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2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a"/>
    <w:next w:val="a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rsid w:val="00F9163A"/>
    <w:rPr>
      <w:snapToGrid/>
      <w:lang w:eastAsia="en-GB"/>
    </w:rPr>
  </w:style>
  <w:style w:type="paragraph" w:customStyle="1" w:styleId="Text2">
    <w:name w:val="Text 2"/>
    <w:basedOn w:val="a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4">
    <w:name w:val="Table Grid"/>
    <w:basedOn w:val="a1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1"/>
    <w:next w:val="a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5">
    <w:name w:val="Block Text"/>
    <w:basedOn w:val="a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6">
    <w:name w:val="annotation reference"/>
    <w:semiHidden/>
    <w:rsid w:val="004842DD"/>
    <w:rPr>
      <w:sz w:val="16"/>
      <w:szCs w:val="16"/>
    </w:rPr>
  </w:style>
  <w:style w:type="paragraph" w:styleId="af7">
    <w:name w:val="annotation text"/>
    <w:basedOn w:val="a"/>
    <w:semiHidden/>
    <w:rsid w:val="004842DD"/>
    <w:rPr>
      <w:sz w:val="20"/>
    </w:rPr>
  </w:style>
  <w:style w:type="paragraph" w:styleId="af8">
    <w:name w:val="annotation subject"/>
    <w:basedOn w:val="af7"/>
    <w:next w:val="af7"/>
    <w:semiHidden/>
    <w:rsid w:val="004842DD"/>
    <w:rPr>
      <w:b/>
      <w:bCs/>
    </w:rPr>
  </w:style>
  <w:style w:type="character" w:customStyle="1" w:styleId="a4">
    <w:name w:val="Долен колонтитул Знак"/>
    <w:link w:val="a3"/>
    <w:rsid w:val="004C505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1096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Alexander Ivanov</cp:lastModifiedBy>
  <cp:revision>16</cp:revision>
  <cp:lastPrinted>2011-09-27T09:12:00Z</cp:lastPrinted>
  <dcterms:created xsi:type="dcterms:W3CDTF">2018-12-18T13:17:00Z</dcterms:created>
  <dcterms:modified xsi:type="dcterms:W3CDTF">2020-02-27T15:51:00Z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