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10635" w14:textId="3E34FCC4" w:rsidR="003436FE" w:rsidRPr="002B370E" w:rsidRDefault="003436FE">
      <w:pPr>
        <w:pStyle w:val="Altyaz"/>
        <w:spacing w:after="240"/>
        <w:rPr>
          <w:lang w:val="en-GB"/>
        </w:rPr>
      </w:pPr>
      <w:r w:rsidRPr="002B370E">
        <w:rPr>
          <w:lang w:val="en-GB"/>
        </w:rPr>
        <w:t xml:space="preserve">REFERENCE: </w:t>
      </w:r>
      <w:r w:rsidR="00B31D01">
        <w:rPr>
          <w:lang w:val="en-GB"/>
        </w:rPr>
        <w:t xml:space="preserve"> </w:t>
      </w:r>
      <w:r w:rsidR="00B31D01" w:rsidRPr="00444BF0">
        <w:t>CB005.2.22.098-TR- SERVICE -01</w:t>
      </w:r>
    </w:p>
    <w:p w14:paraId="4117E696" w14:textId="77777777" w:rsidR="003436FE" w:rsidRPr="002B370E" w:rsidRDefault="003436FE">
      <w:pPr>
        <w:pStyle w:val="Altyaz"/>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CF5DF55" w14:textId="77777777" w:rsidR="003436FE" w:rsidRPr="002B370E" w:rsidRDefault="003436FE">
      <w:pPr>
        <w:pStyle w:val="Altyaz"/>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Kpr"/>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0F85ADB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166676FD"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73EF8726"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06475E59" w14:textId="77777777" w:rsidTr="00010683">
        <w:tc>
          <w:tcPr>
            <w:tcW w:w="4820" w:type="dxa"/>
            <w:tcBorders>
              <w:bottom w:val="nil"/>
            </w:tcBorders>
          </w:tcPr>
          <w:p w14:paraId="4720A255" w14:textId="77777777" w:rsidR="003436FE" w:rsidRPr="002B370E" w:rsidRDefault="003436FE">
            <w:pPr>
              <w:rPr>
                <w:sz w:val="22"/>
                <w:szCs w:val="22"/>
              </w:rPr>
            </w:pPr>
          </w:p>
        </w:tc>
        <w:tc>
          <w:tcPr>
            <w:tcW w:w="1972" w:type="dxa"/>
            <w:shd w:val="pct10" w:color="auto" w:fill="FFFFFF"/>
          </w:tcPr>
          <w:p w14:paraId="4A007583"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0EA90C3E" w14:textId="77777777" w:rsidR="003436FE" w:rsidRPr="002B370E" w:rsidRDefault="003436FE">
            <w:pPr>
              <w:jc w:val="center"/>
              <w:rPr>
                <w:b/>
                <w:sz w:val="22"/>
                <w:szCs w:val="22"/>
              </w:rPr>
            </w:pPr>
            <w:r w:rsidRPr="002B370E">
              <w:rPr>
                <w:b/>
                <w:sz w:val="22"/>
                <w:szCs w:val="22"/>
              </w:rPr>
              <w:t>TIME*</w:t>
            </w:r>
          </w:p>
        </w:tc>
      </w:tr>
      <w:tr w:rsidR="003436FE" w:rsidRPr="002B370E" w14:paraId="363E73F9" w14:textId="77777777" w:rsidTr="00010683">
        <w:tc>
          <w:tcPr>
            <w:tcW w:w="4820" w:type="dxa"/>
            <w:shd w:val="pct10" w:color="auto" w:fill="FFFFFF"/>
          </w:tcPr>
          <w:p w14:paraId="7AFB3C2B"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13403489" w14:textId="13DDAE91" w:rsidR="003436FE" w:rsidRPr="0032747D" w:rsidRDefault="003B5597" w:rsidP="009076E2">
            <w:pPr>
              <w:spacing w:before="120" w:after="120"/>
              <w:jc w:val="center"/>
              <w:rPr>
                <w:sz w:val="22"/>
                <w:szCs w:val="22"/>
              </w:rPr>
            </w:pPr>
            <w:r>
              <w:rPr>
                <w:sz w:val="22"/>
                <w:szCs w:val="22"/>
              </w:rPr>
              <w:t>09</w:t>
            </w:r>
            <w:r w:rsidR="00B74CE3" w:rsidRPr="0032747D">
              <w:rPr>
                <w:sz w:val="22"/>
                <w:szCs w:val="22"/>
              </w:rPr>
              <w:t>.</w:t>
            </w:r>
            <w:r>
              <w:rPr>
                <w:sz w:val="22"/>
                <w:szCs w:val="22"/>
              </w:rPr>
              <w:t>0</w:t>
            </w:r>
            <w:r w:rsidR="009861A5">
              <w:rPr>
                <w:sz w:val="22"/>
                <w:szCs w:val="22"/>
              </w:rPr>
              <w:t>2</w:t>
            </w:r>
            <w:r w:rsidR="00B74CE3" w:rsidRPr="0032747D">
              <w:rPr>
                <w:sz w:val="22"/>
                <w:szCs w:val="22"/>
              </w:rPr>
              <w:t>.202</w:t>
            </w:r>
            <w:r>
              <w:rPr>
                <w:sz w:val="22"/>
                <w:szCs w:val="22"/>
              </w:rPr>
              <w:t>1</w:t>
            </w:r>
          </w:p>
        </w:tc>
        <w:tc>
          <w:tcPr>
            <w:tcW w:w="1572" w:type="dxa"/>
          </w:tcPr>
          <w:p w14:paraId="212C2970" w14:textId="77777777" w:rsidR="003436FE" w:rsidRPr="0032747D" w:rsidRDefault="00B74CE3">
            <w:pPr>
              <w:spacing w:before="120" w:after="120"/>
              <w:jc w:val="center"/>
              <w:rPr>
                <w:sz w:val="22"/>
                <w:szCs w:val="22"/>
              </w:rPr>
            </w:pPr>
            <w:r w:rsidRPr="0032747D">
              <w:rPr>
                <w:sz w:val="22"/>
                <w:szCs w:val="22"/>
              </w:rPr>
              <w:t>17:30 EET</w:t>
            </w:r>
          </w:p>
        </w:tc>
      </w:tr>
      <w:tr w:rsidR="003436FE" w:rsidRPr="002B370E" w14:paraId="2C4CB19B" w14:textId="77777777" w:rsidTr="00010683">
        <w:tc>
          <w:tcPr>
            <w:tcW w:w="4820" w:type="dxa"/>
            <w:shd w:val="pct10" w:color="auto" w:fill="FFFFFF"/>
          </w:tcPr>
          <w:p w14:paraId="14F3D979"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69EAAB68" w14:textId="21BDB3CF" w:rsidR="003436FE" w:rsidRPr="0032747D" w:rsidRDefault="009861A5" w:rsidP="009076E2">
            <w:pPr>
              <w:spacing w:before="120" w:after="120"/>
              <w:jc w:val="center"/>
              <w:rPr>
                <w:sz w:val="22"/>
                <w:szCs w:val="22"/>
              </w:rPr>
            </w:pPr>
            <w:r>
              <w:rPr>
                <w:sz w:val="22"/>
                <w:szCs w:val="22"/>
              </w:rPr>
              <w:t>19</w:t>
            </w:r>
            <w:r w:rsidR="00B74CE3" w:rsidRPr="0032747D">
              <w:rPr>
                <w:sz w:val="22"/>
                <w:szCs w:val="22"/>
              </w:rPr>
              <w:t>.</w:t>
            </w:r>
            <w:r w:rsidR="003B5597">
              <w:rPr>
                <w:sz w:val="22"/>
                <w:szCs w:val="22"/>
              </w:rPr>
              <w:t>0</w:t>
            </w:r>
            <w:r>
              <w:rPr>
                <w:sz w:val="22"/>
                <w:szCs w:val="22"/>
              </w:rPr>
              <w:t>2</w:t>
            </w:r>
            <w:r w:rsidR="00B74CE3" w:rsidRPr="0032747D">
              <w:rPr>
                <w:sz w:val="22"/>
                <w:szCs w:val="22"/>
              </w:rPr>
              <w:t>.202</w:t>
            </w:r>
            <w:r w:rsidR="003B5597">
              <w:rPr>
                <w:sz w:val="22"/>
                <w:szCs w:val="22"/>
              </w:rPr>
              <w:t>1</w:t>
            </w:r>
          </w:p>
        </w:tc>
        <w:tc>
          <w:tcPr>
            <w:tcW w:w="1572" w:type="dxa"/>
          </w:tcPr>
          <w:p w14:paraId="6ABE9450"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6DF09F17" w14:textId="77777777" w:rsidTr="00010683">
        <w:tc>
          <w:tcPr>
            <w:tcW w:w="4820" w:type="dxa"/>
            <w:shd w:val="pct10" w:color="auto" w:fill="FFFFFF"/>
          </w:tcPr>
          <w:p w14:paraId="15465A68"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47070C1E" w14:textId="0A794957" w:rsidR="003436FE" w:rsidRPr="0032747D" w:rsidRDefault="00983BDC" w:rsidP="00983BDC">
            <w:pPr>
              <w:spacing w:before="120" w:after="120"/>
              <w:rPr>
                <w:sz w:val="22"/>
                <w:szCs w:val="22"/>
              </w:rPr>
            </w:pPr>
            <w:r>
              <w:rPr>
                <w:sz w:val="22"/>
                <w:szCs w:val="22"/>
              </w:rPr>
              <w:t xml:space="preserve">      </w:t>
            </w:r>
            <w:r w:rsidR="00CF5016">
              <w:rPr>
                <w:sz w:val="22"/>
                <w:szCs w:val="22"/>
              </w:rPr>
              <w:t xml:space="preserve">  </w:t>
            </w:r>
            <w:r w:rsidR="003B5597">
              <w:rPr>
                <w:sz w:val="22"/>
                <w:szCs w:val="22"/>
              </w:rPr>
              <w:t>02</w:t>
            </w:r>
            <w:r w:rsidR="00B74CE3" w:rsidRPr="0032747D">
              <w:rPr>
                <w:sz w:val="22"/>
                <w:szCs w:val="22"/>
              </w:rPr>
              <w:t>.</w:t>
            </w:r>
            <w:r w:rsidR="00676181">
              <w:rPr>
                <w:sz w:val="22"/>
                <w:szCs w:val="22"/>
              </w:rPr>
              <w:t>0</w:t>
            </w:r>
            <w:r w:rsidR="003B5597">
              <w:rPr>
                <w:sz w:val="22"/>
                <w:szCs w:val="22"/>
              </w:rPr>
              <w:t>3</w:t>
            </w:r>
            <w:r w:rsidR="00B74CE3" w:rsidRPr="0032747D">
              <w:rPr>
                <w:sz w:val="22"/>
                <w:szCs w:val="22"/>
              </w:rPr>
              <w:t>.202</w:t>
            </w:r>
            <w:r w:rsidR="00676181">
              <w:rPr>
                <w:sz w:val="22"/>
                <w:szCs w:val="22"/>
              </w:rPr>
              <w:t>1</w:t>
            </w:r>
          </w:p>
        </w:tc>
        <w:tc>
          <w:tcPr>
            <w:tcW w:w="1572" w:type="dxa"/>
          </w:tcPr>
          <w:p w14:paraId="7468A78C" w14:textId="77777777" w:rsidR="003436FE" w:rsidRPr="0032747D" w:rsidRDefault="00B74CE3">
            <w:pPr>
              <w:spacing w:before="120" w:after="120"/>
              <w:jc w:val="center"/>
              <w:rPr>
                <w:sz w:val="22"/>
                <w:szCs w:val="22"/>
              </w:rPr>
            </w:pPr>
            <w:r w:rsidRPr="0032747D">
              <w:rPr>
                <w:sz w:val="22"/>
                <w:szCs w:val="22"/>
              </w:rPr>
              <w:t>17:30 EET</w:t>
            </w:r>
          </w:p>
        </w:tc>
      </w:tr>
      <w:tr w:rsidR="003436FE" w:rsidRPr="002B370E" w14:paraId="0B0D1EE5" w14:textId="77777777" w:rsidTr="00010683">
        <w:tc>
          <w:tcPr>
            <w:tcW w:w="4820" w:type="dxa"/>
            <w:shd w:val="pct10" w:color="auto" w:fill="FFFFFF"/>
          </w:tcPr>
          <w:p w14:paraId="431431A9"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78C2076B" w14:textId="38D8ED2E" w:rsidR="003436FE" w:rsidRPr="0032747D" w:rsidRDefault="00464264" w:rsidP="0032747D">
            <w:pPr>
              <w:spacing w:before="120" w:after="120"/>
              <w:jc w:val="center"/>
              <w:rPr>
                <w:sz w:val="22"/>
                <w:szCs w:val="22"/>
              </w:rPr>
            </w:pPr>
            <w:r>
              <w:rPr>
                <w:sz w:val="22"/>
                <w:szCs w:val="22"/>
              </w:rPr>
              <w:t xml:space="preserve">     </w:t>
            </w:r>
            <w:r w:rsidR="003B5597">
              <w:rPr>
                <w:sz w:val="22"/>
                <w:szCs w:val="22"/>
              </w:rPr>
              <w:t>05</w:t>
            </w:r>
            <w:r w:rsidR="00B74CE3" w:rsidRPr="0032747D">
              <w:rPr>
                <w:sz w:val="22"/>
                <w:szCs w:val="22"/>
              </w:rPr>
              <w:t>.</w:t>
            </w:r>
            <w:r w:rsidR="00676181">
              <w:rPr>
                <w:sz w:val="22"/>
                <w:szCs w:val="22"/>
              </w:rPr>
              <w:t>0</w:t>
            </w:r>
            <w:r w:rsidR="003B5597">
              <w:rPr>
                <w:sz w:val="22"/>
                <w:szCs w:val="22"/>
              </w:rPr>
              <w:t>3</w:t>
            </w:r>
            <w:r w:rsidR="00B74CE3" w:rsidRPr="0032747D">
              <w:rPr>
                <w:sz w:val="22"/>
                <w:szCs w:val="22"/>
              </w:rPr>
              <w:t>.202</w:t>
            </w:r>
            <w:r w:rsidR="00676181">
              <w:rPr>
                <w:sz w:val="22"/>
                <w:szCs w:val="22"/>
              </w:rPr>
              <w:t>1</w:t>
            </w:r>
            <w:r w:rsidR="003436FE" w:rsidRPr="0032747D">
              <w:rPr>
                <w:sz w:val="22"/>
                <w:szCs w:val="22"/>
              </w:rPr>
              <w:t xml:space="preserve"> </w:t>
            </w:r>
            <w:r w:rsidR="003436FE" w:rsidRPr="0032747D">
              <w:rPr>
                <w:sz w:val="22"/>
                <w:szCs w:val="22"/>
                <w:vertAlign w:val="superscript"/>
              </w:rPr>
              <w:sym w:font="Monotype Sorts" w:char="F027"/>
            </w:r>
          </w:p>
        </w:tc>
        <w:tc>
          <w:tcPr>
            <w:tcW w:w="1572" w:type="dxa"/>
          </w:tcPr>
          <w:p w14:paraId="46A38AB5"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0EC70208" w14:textId="77777777" w:rsidTr="00010683">
        <w:tc>
          <w:tcPr>
            <w:tcW w:w="4820" w:type="dxa"/>
            <w:shd w:val="pct10" w:color="auto" w:fill="FFFFFF"/>
          </w:tcPr>
          <w:p w14:paraId="1166E234"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3300A268" w14:textId="07B54BB2" w:rsidR="003436FE" w:rsidRPr="0032747D" w:rsidRDefault="00464264" w:rsidP="0032747D">
            <w:pPr>
              <w:spacing w:before="120" w:after="120"/>
              <w:jc w:val="center"/>
              <w:rPr>
                <w:sz w:val="22"/>
                <w:szCs w:val="22"/>
              </w:rPr>
            </w:pPr>
            <w:r>
              <w:rPr>
                <w:sz w:val="22"/>
                <w:szCs w:val="22"/>
              </w:rPr>
              <w:t xml:space="preserve">     </w:t>
            </w:r>
            <w:r w:rsidR="003B5597">
              <w:rPr>
                <w:sz w:val="22"/>
                <w:szCs w:val="22"/>
              </w:rPr>
              <w:t>0</w:t>
            </w:r>
            <w:r w:rsidR="0079450E">
              <w:rPr>
                <w:sz w:val="22"/>
                <w:szCs w:val="22"/>
              </w:rPr>
              <w:t>5</w:t>
            </w:r>
            <w:r w:rsidR="00B74CE3" w:rsidRPr="0032747D">
              <w:rPr>
                <w:sz w:val="22"/>
                <w:szCs w:val="22"/>
              </w:rPr>
              <w:t>.</w:t>
            </w:r>
            <w:r w:rsidR="00676181">
              <w:rPr>
                <w:sz w:val="22"/>
                <w:szCs w:val="22"/>
              </w:rPr>
              <w:t>0</w:t>
            </w:r>
            <w:r w:rsidR="003B5597">
              <w:rPr>
                <w:sz w:val="22"/>
                <w:szCs w:val="22"/>
              </w:rPr>
              <w:t>3</w:t>
            </w:r>
            <w:r w:rsidR="00B74CE3" w:rsidRPr="0032747D">
              <w:rPr>
                <w:sz w:val="22"/>
                <w:szCs w:val="22"/>
              </w:rPr>
              <w:t>.202</w:t>
            </w:r>
            <w:r w:rsidR="00676181">
              <w:rPr>
                <w:sz w:val="22"/>
                <w:szCs w:val="22"/>
              </w:rPr>
              <w:t>1</w:t>
            </w:r>
            <w:r w:rsidR="003436FE" w:rsidRPr="0032747D">
              <w:rPr>
                <w:sz w:val="22"/>
                <w:szCs w:val="22"/>
              </w:rPr>
              <w:t xml:space="preserve"> </w:t>
            </w:r>
            <w:r w:rsidR="003436FE" w:rsidRPr="0032747D">
              <w:rPr>
                <w:sz w:val="22"/>
                <w:szCs w:val="22"/>
                <w:vertAlign w:val="superscript"/>
              </w:rPr>
              <w:sym w:font="Monotype Sorts" w:char="F027"/>
            </w:r>
          </w:p>
        </w:tc>
        <w:tc>
          <w:tcPr>
            <w:tcW w:w="1572" w:type="dxa"/>
          </w:tcPr>
          <w:p w14:paraId="3A634E7E"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2060DE20" w14:textId="77777777" w:rsidTr="00010683">
        <w:tc>
          <w:tcPr>
            <w:tcW w:w="4820" w:type="dxa"/>
            <w:shd w:val="pct10" w:color="auto" w:fill="FFFFFF"/>
          </w:tcPr>
          <w:p w14:paraId="03A5A09C"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040F40E4" w14:textId="27BEE4F3" w:rsidR="003436FE" w:rsidRPr="0032747D" w:rsidRDefault="00464264" w:rsidP="0032747D">
            <w:pPr>
              <w:spacing w:before="120" w:after="120"/>
              <w:jc w:val="center"/>
              <w:rPr>
                <w:sz w:val="22"/>
                <w:szCs w:val="22"/>
              </w:rPr>
            </w:pPr>
            <w:r>
              <w:rPr>
                <w:sz w:val="22"/>
                <w:szCs w:val="22"/>
              </w:rPr>
              <w:t xml:space="preserve">    </w:t>
            </w:r>
            <w:r w:rsidR="003B5597">
              <w:rPr>
                <w:sz w:val="22"/>
                <w:szCs w:val="22"/>
              </w:rPr>
              <w:t>1</w:t>
            </w:r>
            <w:r w:rsidR="00C53C29">
              <w:rPr>
                <w:sz w:val="22"/>
                <w:szCs w:val="22"/>
              </w:rPr>
              <w:t>5</w:t>
            </w:r>
            <w:r w:rsidR="00B74CE3" w:rsidRPr="0032747D">
              <w:rPr>
                <w:sz w:val="22"/>
                <w:szCs w:val="22"/>
              </w:rPr>
              <w:t>.</w:t>
            </w:r>
            <w:r w:rsidR="0032747D" w:rsidRPr="0032747D">
              <w:rPr>
                <w:sz w:val="22"/>
                <w:szCs w:val="22"/>
              </w:rPr>
              <w:t>0</w:t>
            </w:r>
            <w:r w:rsidR="003B5597">
              <w:rPr>
                <w:sz w:val="22"/>
                <w:szCs w:val="22"/>
              </w:rPr>
              <w:t>3</w:t>
            </w:r>
            <w:r w:rsidR="00B74CE3" w:rsidRPr="0032747D">
              <w:rPr>
                <w:sz w:val="22"/>
                <w:szCs w:val="22"/>
              </w:rPr>
              <w:t>.202</w:t>
            </w:r>
            <w:r w:rsidR="00676181">
              <w:rPr>
                <w:sz w:val="22"/>
                <w:szCs w:val="22"/>
              </w:rPr>
              <w:t>1</w:t>
            </w:r>
            <w:r w:rsidR="003436FE" w:rsidRPr="0032747D">
              <w:rPr>
                <w:sz w:val="22"/>
                <w:szCs w:val="22"/>
                <w:vertAlign w:val="superscript"/>
              </w:rPr>
              <w:sym w:font="Monotype Sorts" w:char="F027"/>
            </w:r>
          </w:p>
        </w:tc>
        <w:tc>
          <w:tcPr>
            <w:tcW w:w="1572" w:type="dxa"/>
          </w:tcPr>
          <w:p w14:paraId="5839117D" w14:textId="77777777" w:rsidR="003436FE" w:rsidRPr="0032747D" w:rsidRDefault="003436FE">
            <w:pPr>
              <w:spacing w:before="120" w:after="120"/>
              <w:jc w:val="center"/>
              <w:rPr>
                <w:sz w:val="22"/>
                <w:szCs w:val="22"/>
              </w:rPr>
            </w:pPr>
            <w:r w:rsidRPr="0032747D">
              <w:rPr>
                <w:sz w:val="22"/>
                <w:szCs w:val="22"/>
              </w:rPr>
              <w:t>-</w:t>
            </w:r>
          </w:p>
        </w:tc>
      </w:tr>
      <w:tr w:rsidR="003436FE" w:rsidRPr="002B370E" w14:paraId="07339A38" w14:textId="77777777" w:rsidTr="00010683">
        <w:tc>
          <w:tcPr>
            <w:tcW w:w="4820" w:type="dxa"/>
            <w:shd w:val="pct10" w:color="auto" w:fill="FFFFFF"/>
          </w:tcPr>
          <w:p w14:paraId="3F3632D0"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D483074" w14:textId="0B440893" w:rsidR="003436FE" w:rsidRPr="0032747D" w:rsidRDefault="00464264" w:rsidP="0032747D">
            <w:pPr>
              <w:spacing w:before="120" w:after="120"/>
              <w:jc w:val="center"/>
              <w:rPr>
                <w:sz w:val="22"/>
                <w:szCs w:val="22"/>
              </w:rPr>
            </w:pPr>
            <w:r>
              <w:rPr>
                <w:sz w:val="22"/>
                <w:szCs w:val="22"/>
              </w:rPr>
              <w:t xml:space="preserve">     </w:t>
            </w:r>
            <w:r w:rsidR="003B5597">
              <w:rPr>
                <w:sz w:val="22"/>
                <w:szCs w:val="22"/>
              </w:rPr>
              <w:t>1</w:t>
            </w:r>
            <w:r w:rsidR="00C53C29">
              <w:rPr>
                <w:sz w:val="22"/>
                <w:szCs w:val="22"/>
              </w:rPr>
              <w:t>6</w:t>
            </w:r>
            <w:r w:rsidR="00B74CE3" w:rsidRPr="0032747D">
              <w:rPr>
                <w:sz w:val="22"/>
                <w:szCs w:val="22"/>
              </w:rPr>
              <w:t>.</w:t>
            </w:r>
            <w:r w:rsidR="009076E2" w:rsidRPr="0032747D">
              <w:rPr>
                <w:sz w:val="22"/>
                <w:szCs w:val="22"/>
              </w:rPr>
              <w:t>0</w:t>
            </w:r>
            <w:r w:rsidR="003B5597">
              <w:rPr>
                <w:sz w:val="22"/>
                <w:szCs w:val="22"/>
              </w:rPr>
              <w:t>3</w:t>
            </w:r>
            <w:r w:rsidR="00B74CE3" w:rsidRPr="0032747D">
              <w:rPr>
                <w:sz w:val="22"/>
                <w:szCs w:val="22"/>
              </w:rPr>
              <w:t>.</w:t>
            </w:r>
            <w:r w:rsidR="009076E2" w:rsidRPr="0032747D">
              <w:rPr>
                <w:sz w:val="22"/>
                <w:szCs w:val="22"/>
              </w:rPr>
              <w:t xml:space="preserve">2021 </w:t>
            </w:r>
            <w:r w:rsidR="003436FE" w:rsidRPr="0032747D">
              <w:rPr>
                <w:sz w:val="22"/>
                <w:szCs w:val="22"/>
                <w:vertAlign w:val="superscript"/>
              </w:rPr>
              <w:sym w:font="Monotype Sorts" w:char="F027"/>
            </w:r>
          </w:p>
        </w:tc>
        <w:tc>
          <w:tcPr>
            <w:tcW w:w="1572" w:type="dxa"/>
          </w:tcPr>
          <w:p w14:paraId="75779247" w14:textId="77777777" w:rsidR="003436FE" w:rsidRPr="0032747D" w:rsidRDefault="003436FE">
            <w:pPr>
              <w:spacing w:before="120" w:after="120"/>
              <w:jc w:val="center"/>
              <w:rPr>
                <w:sz w:val="22"/>
                <w:szCs w:val="22"/>
              </w:rPr>
            </w:pPr>
            <w:r w:rsidRPr="0032747D">
              <w:rPr>
                <w:sz w:val="22"/>
                <w:szCs w:val="22"/>
              </w:rPr>
              <w:t>-</w:t>
            </w:r>
          </w:p>
        </w:tc>
      </w:tr>
    </w:tbl>
    <w:p w14:paraId="61B00386"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388419D3"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3EDF8DF1" w14:textId="77777777" w:rsidR="003436FE" w:rsidRPr="002B370E" w:rsidRDefault="003436FE" w:rsidP="003436FE">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1552BAC" w14:textId="77777777" w:rsidR="003436FE" w:rsidRPr="002B370E" w:rsidRDefault="003436FE" w:rsidP="004530E4">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5B792625" w14:textId="77777777" w:rsidR="003436FE" w:rsidRDefault="004E248D" w:rsidP="00C3216F">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51B95047" w14:textId="77777777" w:rsidR="00381AB8" w:rsidRPr="00C3216F" w:rsidRDefault="00381AB8" w:rsidP="00C3216F">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3F90BA7A" w14:textId="588C75E9" w:rsidR="00D66CD2" w:rsidRPr="00200F20" w:rsidRDefault="00D66CD2" w:rsidP="00536F30">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480BF1">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2E4EB848" w14:textId="77777777" w:rsidR="003436FE" w:rsidRPr="00632671" w:rsidRDefault="003436FE" w:rsidP="003436FE">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p>
    <w:p w14:paraId="1D007375" w14:textId="77777777" w:rsidR="003436FE" w:rsidRPr="00632671" w:rsidRDefault="003436FE" w:rsidP="003436FE">
      <w:pPr>
        <w:pStyle w:val="GvdeMetni"/>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355A060D"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59A7038D" w14:textId="77777777" w:rsidR="003436FE" w:rsidRPr="002B370E" w:rsidRDefault="003436FE" w:rsidP="003436FE">
      <w:pPr>
        <w:pStyle w:val="Balk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77402876" w14:textId="77777777" w:rsidR="003436FE" w:rsidRPr="002B370E" w:rsidRDefault="003436FE" w:rsidP="003436FE">
      <w:pPr>
        <w:pStyle w:val="Balk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735D3AD0" w14:textId="77777777"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B74CE3">
        <w:rPr>
          <w:sz w:val="22"/>
          <w:szCs w:val="22"/>
        </w:rPr>
        <w:t>two</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AA638D1"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35DEA27D"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390C52DA"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3E2C88B6" w14:textId="1F4202BF" w:rsidR="003436FE"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DipnotBavurusu"/>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516E8686" w14:textId="77777777" w:rsidR="00397E74" w:rsidRPr="0080471D" w:rsidRDefault="00397E74" w:rsidP="00397E74">
      <w:pPr>
        <w:numPr>
          <w:ilvl w:val="0"/>
          <w:numId w:val="27"/>
        </w:numPr>
        <w:tabs>
          <w:tab w:val="clear" w:pos="360"/>
          <w:tab w:val="num" w:pos="851"/>
        </w:tabs>
        <w:spacing w:before="120" w:after="120"/>
        <w:ind w:left="851" w:hanging="284"/>
        <w:jc w:val="both"/>
        <w:rPr>
          <w:sz w:val="22"/>
          <w:szCs w:val="22"/>
        </w:rPr>
      </w:pPr>
      <w:r w:rsidRPr="0080471D">
        <w:rPr>
          <w:sz w:val="22"/>
          <w:szCs w:val="22"/>
        </w:rPr>
        <w:t>Signed statements of exclusivity and availability (using the template included with the tender submission form), one for each key expert, the purpose of which are as follows:</w:t>
      </w:r>
    </w:p>
    <w:p w14:paraId="182B92EE" w14:textId="77777777" w:rsidR="00397E74" w:rsidRPr="0080471D" w:rsidRDefault="00397E74" w:rsidP="00397E74">
      <w:pPr>
        <w:numPr>
          <w:ilvl w:val="0"/>
          <w:numId w:val="35"/>
        </w:numPr>
        <w:tabs>
          <w:tab w:val="clear" w:pos="360"/>
          <w:tab w:val="num" w:pos="1070"/>
        </w:tabs>
        <w:spacing w:before="120" w:after="120"/>
        <w:ind w:left="1276"/>
        <w:jc w:val="both"/>
        <w:rPr>
          <w:sz w:val="22"/>
          <w:szCs w:val="22"/>
        </w:rPr>
      </w:pPr>
      <w:r w:rsidRPr="0080471D">
        <w:rPr>
          <w:sz w:val="22"/>
          <w:szCs w:val="22"/>
        </w:rPr>
        <w:t>The key experts proposed in this tender must not be part of any other tender submitted for this tender procedure. They must therefore commit themselves exclusively to the tenderer.</w:t>
      </w:r>
    </w:p>
    <w:p w14:paraId="4D857839"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461EED6"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lastRenderedPageBreak/>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0C145034"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025580CF" w14:textId="69484183" w:rsidR="003436FE" w:rsidRDefault="003436FE" w:rsidP="003436FE">
      <w:pPr>
        <w:numPr>
          <w:ilvl w:val="0"/>
          <w:numId w:val="20"/>
        </w:numPr>
        <w:tabs>
          <w:tab w:val="num" w:pos="567"/>
        </w:tabs>
        <w:spacing w:before="120" w:after="120"/>
        <w:ind w:left="567" w:hanging="567"/>
        <w:jc w:val="both"/>
        <w:rPr>
          <w:sz w:val="22"/>
          <w:szCs w:val="22"/>
        </w:rPr>
      </w:pPr>
      <w:r w:rsidRPr="00E33EB4">
        <w:rPr>
          <w:b/>
          <w:sz w:val="22"/>
          <w:szCs w:val="22"/>
        </w:rPr>
        <w:t>Organisation and methodology</w:t>
      </w:r>
      <w:r w:rsidRPr="00E33EB4">
        <w:rPr>
          <w:sz w:val="22"/>
          <w:szCs w:val="22"/>
        </w:rPr>
        <w:t xml:space="preserve"> (will become Annex III to the contract), to be drawn up by the tenderer using the format in Annex III to the draft contract.</w:t>
      </w:r>
    </w:p>
    <w:p w14:paraId="4C22C042" w14:textId="77777777" w:rsidR="00DD3A01" w:rsidRPr="007671CB" w:rsidRDefault="00DD3A01" w:rsidP="00DD3A01">
      <w:pPr>
        <w:numPr>
          <w:ilvl w:val="0"/>
          <w:numId w:val="2"/>
        </w:numPr>
        <w:tabs>
          <w:tab w:val="num" w:pos="567"/>
        </w:tabs>
        <w:spacing w:before="120" w:after="120"/>
        <w:ind w:left="567" w:hanging="567"/>
        <w:jc w:val="both"/>
        <w:rPr>
          <w:sz w:val="22"/>
          <w:szCs w:val="22"/>
        </w:rPr>
      </w:pPr>
      <w:r w:rsidRPr="007671CB">
        <w:rPr>
          <w:b/>
          <w:sz w:val="22"/>
          <w:szCs w:val="22"/>
        </w:rPr>
        <w:t>Key experts</w:t>
      </w:r>
      <w:r w:rsidRPr="007671CB">
        <w:rPr>
          <w:sz w:val="22"/>
          <w:szCs w:val="22"/>
        </w:rPr>
        <w:t xml:space="preserve"> (to become Annex IV to the contract). The key experts are those whose involvement is considered to be instrumental to achieve the contract objectives.</w:t>
      </w:r>
    </w:p>
    <w:p w14:paraId="6C367BA4" w14:textId="77777777" w:rsidR="00DD3A01" w:rsidRPr="007671CB" w:rsidRDefault="00DD3A01" w:rsidP="00DD3A01">
      <w:pPr>
        <w:spacing w:before="120" w:after="120"/>
        <w:ind w:left="567"/>
        <w:jc w:val="both"/>
        <w:rPr>
          <w:sz w:val="22"/>
          <w:szCs w:val="22"/>
        </w:rPr>
      </w:pPr>
      <w:r w:rsidRPr="002B370E">
        <w:rPr>
          <w:sz w:val="22"/>
          <w:szCs w:val="22"/>
        </w:rPr>
        <w:t xml:space="preserve"> </w:t>
      </w:r>
      <w:r w:rsidRPr="007671CB">
        <w:rPr>
          <w:sz w:val="22"/>
          <w:szCs w:val="22"/>
        </w:rPr>
        <w:t>Annex IV to the draft contract contains the templates that tenderers must use, including:</w:t>
      </w:r>
    </w:p>
    <w:p w14:paraId="0132305A" w14:textId="77777777" w:rsidR="00DD3A01" w:rsidRPr="007671CB" w:rsidRDefault="00DD3A01" w:rsidP="00DD3A01">
      <w:pPr>
        <w:numPr>
          <w:ilvl w:val="0"/>
          <w:numId w:val="4"/>
        </w:numPr>
        <w:tabs>
          <w:tab w:val="clear" w:pos="360"/>
        </w:tabs>
        <w:spacing w:before="120" w:after="120"/>
        <w:ind w:left="993" w:hanging="425"/>
        <w:jc w:val="both"/>
        <w:rPr>
          <w:sz w:val="22"/>
          <w:szCs w:val="22"/>
        </w:rPr>
      </w:pPr>
      <w:r w:rsidRPr="007671CB">
        <w:rPr>
          <w:sz w:val="22"/>
          <w:szCs w:val="22"/>
        </w:rPr>
        <w:t>a list of the names of the key experts;</w:t>
      </w:r>
    </w:p>
    <w:p w14:paraId="7D75A437" w14:textId="77777777" w:rsidR="00DD3A01" w:rsidRPr="007671CB" w:rsidRDefault="00DD3A01" w:rsidP="00DD3A01">
      <w:pPr>
        <w:numPr>
          <w:ilvl w:val="0"/>
          <w:numId w:val="4"/>
        </w:numPr>
        <w:tabs>
          <w:tab w:val="clear" w:pos="360"/>
        </w:tabs>
        <w:spacing w:before="120" w:after="120"/>
        <w:ind w:left="993" w:hanging="425"/>
        <w:jc w:val="both"/>
        <w:rPr>
          <w:sz w:val="22"/>
          <w:szCs w:val="22"/>
        </w:rPr>
      </w:pPr>
      <w:r w:rsidRPr="007671CB">
        <w:rPr>
          <w:sz w:val="22"/>
          <w:szCs w:val="22"/>
        </w:rPr>
        <w:t>the CVs of each of the key experts.</w:t>
      </w:r>
      <w:r w:rsidRPr="007671CB">
        <w:rPr>
          <w:b/>
          <w:sz w:val="22"/>
          <w:szCs w:val="22"/>
        </w:rPr>
        <w:t xml:space="preserve"> </w:t>
      </w:r>
      <w:r w:rsidRPr="007671CB">
        <w:rPr>
          <w:sz w:val="22"/>
          <w:szCs w:val="22"/>
        </w:rPr>
        <w:t>Each CV should be no longer than 3 pages and only one CV must be provided for each position identified in the terms of reference. Only the work experience mentioned in the CV will be considered by the evaluation committee. Note that the CVs of non-key experts must not be submitted.</w:t>
      </w:r>
    </w:p>
    <w:p w14:paraId="6CBEB04A" w14:textId="5896E7B5" w:rsidR="00396D4A" w:rsidRPr="002B370E" w:rsidRDefault="00480BF1" w:rsidP="00632671">
      <w:pPr>
        <w:pStyle w:val="GvdeMetniGirintisi"/>
        <w:spacing w:before="120"/>
        <w:rPr>
          <w:sz w:val="22"/>
          <w:szCs w:val="22"/>
        </w:rPr>
      </w:pPr>
      <w:r w:rsidRPr="00E33EB4" w:rsidDel="00480BF1">
        <w:rPr>
          <w:b/>
          <w:sz w:val="22"/>
          <w:szCs w:val="22"/>
        </w:rPr>
        <w:t xml:space="preserve"> </w:t>
      </w:r>
      <w:r w:rsidR="00396D4A" w:rsidRPr="00E33EB4">
        <w:rPr>
          <w:sz w:val="22"/>
          <w:szCs w:val="22"/>
        </w:rPr>
        <w:t>(</w:t>
      </w:r>
      <w:r w:rsidR="00DD3A01">
        <w:rPr>
          <w:sz w:val="22"/>
          <w:szCs w:val="22"/>
        </w:rPr>
        <w:t>4</w:t>
      </w:r>
      <w:r w:rsidR="00396D4A" w:rsidRPr="00E33EB4">
        <w:rPr>
          <w:sz w:val="22"/>
          <w:szCs w:val="22"/>
        </w:rPr>
        <w:t>)</w:t>
      </w:r>
      <w:r w:rsidR="00396D4A" w:rsidRPr="00E33EB4">
        <w:rPr>
          <w:sz w:val="22"/>
          <w:szCs w:val="22"/>
        </w:rPr>
        <w:tab/>
        <w:t xml:space="preserve">Non key experts may also be instrumental to achieve the contract objectives. However, they are not subject to evaluation by the evaluation </w:t>
      </w:r>
      <w:r w:rsidR="00543D27" w:rsidRPr="00E33EB4">
        <w:rPr>
          <w:sz w:val="22"/>
          <w:szCs w:val="22"/>
        </w:rPr>
        <w:t>c</w:t>
      </w:r>
      <w:r w:rsidR="00396D4A" w:rsidRPr="00E33EB4">
        <w:rPr>
          <w:sz w:val="22"/>
          <w:szCs w:val="22"/>
        </w:rPr>
        <w:t>ommittee. Their positions and responsibilities may be defined in Section 6.1.</w:t>
      </w:r>
      <w:r w:rsidR="00804556" w:rsidRPr="00E33EB4">
        <w:rPr>
          <w:sz w:val="22"/>
          <w:szCs w:val="22"/>
        </w:rPr>
        <w:t>2</w:t>
      </w:r>
      <w:r w:rsidR="00396D4A" w:rsidRPr="00E33EB4">
        <w:rPr>
          <w:sz w:val="22"/>
          <w:szCs w:val="22"/>
        </w:rPr>
        <w:t xml:space="preserve"> of the </w:t>
      </w:r>
      <w:r w:rsidR="00543D27" w:rsidRPr="00E33EB4">
        <w:rPr>
          <w:sz w:val="22"/>
          <w:szCs w:val="22"/>
        </w:rPr>
        <w:t>t</w:t>
      </w:r>
      <w:r w:rsidR="00396D4A" w:rsidRPr="00E33EB4">
        <w:rPr>
          <w:sz w:val="22"/>
          <w:szCs w:val="22"/>
        </w:rPr>
        <w:t xml:space="preserve">erms of </w:t>
      </w:r>
      <w:r w:rsidR="00543D27" w:rsidRPr="00E33EB4">
        <w:rPr>
          <w:sz w:val="22"/>
          <w:szCs w:val="22"/>
        </w:rPr>
        <w:t>r</w:t>
      </w:r>
      <w:r w:rsidR="00396D4A" w:rsidRPr="00E33EB4">
        <w:rPr>
          <w:sz w:val="22"/>
          <w:szCs w:val="22"/>
        </w:rPr>
        <w:t>eference in Annex II to the draft contract.</w:t>
      </w:r>
    </w:p>
    <w:p w14:paraId="6A7DF04E" w14:textId="38746394" w:rsidR="003436FE" w:rsidRPr="002B370E" w:rsidRDefault="00010683" w:rsidP="003436FE">
      <w:pPr>
        <w:pStyle w:val="GvdeMetniGirintisi"/>
        <w:tabs>
          <w:tab w:val="clear" w:pos="567"/>
        </w:tabs>
        <w:spacing w:before="120"/>
        <w:rPr>
          <w:sz w:val="22"/>
          <w:szCs w:val="22"/>
        </w:rPr>
      </w:pPr>
      <w:r>
        <w:rPr>
          <w:sz w:val="22"/>
          <w:szCs w:val="22"/>
        </w:rPr>
        <w:t>(</w:t>
      </w:r>
      <w:r w:rsidR="00DD3A01">
        <w:rPr>
          <w:sz w:val="22"/>
          <w:szCs w:val="22"/>
        </w:rPr>
        <w:t>5</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7C78D00D" w14:textId="77777777" w:rsidR="003436FE" w:rsidRPr="002B370E" w:rsidRDefault="003436FE" w:rsidP="003436FE">
      <w:pPr>
        <w:pStyle w:val="GvdeMetniGirintisi"/>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1D27C42"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42F5BB6E" w14:textId="48D6012B" w:rsidR="001B2CA6" w:rsidRPr="00A61B8A" w:rsidRDefault="003121C6" w:rsidP="003121C6">
      <w:pPr>
        <w:spacing w:before="120" w:after="120"/>
        <w:ind w:left="567" w:hanging="567"/>
        <w:jc w:val="both"/>
        <w:rPr>
          <w:color w:val="000000"/>
          <w:sz w:val="22"/>
          <w:szCs w:val="22"/>
        </w:rPr>
      </w:pPr>
      <w:r>
        <w:rPr>
          <w:color w:val="000000"/>
          <w:sz w:val="22"/>
          <w:szCs w:val="22"/>
        </w:rPr>
        <w:t>(</w:t>
      </w:r>
      <w:r w:rsidR="00DD3A01">
        <w:rPr>
          <w:color w:val="000000"/>
          <w:sz w:val="22"/>
          <w:szCs w:val="22"/>
        </w:rPr>
        <w:t>6</w:t>
      </w:r>
      <w:r>
        <w:rPr>
          <w:color w:val="000000"/>
          <w:sz w:val="22"/>
          <w:szCs w:val="22"/>
        </w:rPr>
        <w:t>)</w:t>
      </w:r>
      <w:r w:rsidR="00010683">
        <w:rPr>
          <w:color w:val="000000"/>
          <w:sz w:val="22"/>
          <w:szCs w:val="22"/>
        </w:rPr>
        <w:tab/>
      </w:r>
      <w:r w:rsidRPr="00A61B8A">
        <w:rPr>
          <w:color w:val="000000"/>
          <w:sz w:val="22"/>
          <w:szCs w:val="22"/>
        </w:rPr>
        <w:t xml:space="preserve">Documentary evidence of the financial and economic capacity </w:t>
      </w:r>
      <w:r w:rsidR="000F0B96" w:rsidRPr="00A61B8A">
        <w:rPr>
          <w:color w:val="000000"/>
          <w:sz w:val="22"/>
          <w:szCs w:val="22"/>
        </w:rPr>
        <w:t>and/or of</w:t>
      </w:r>
      <w:r w:rsidRPr="00A61B8A">
        <w:rPr>
          <w:color w:val="000000"/>
          <w:sz w:val="22"/>
          <w:szCs w:val="22"/>
        </w:rPr>
        <w:t xml:space="preserve"> the technical and professional capacity according to the selection criteria specified in </w:t>
      </w:r>
      <w:r w:rsidR="005D2BA9" w:rsidRPr="00A61B8A">
        <w:rPr>
          <w:color w:val="000000"/>
          <w:sz w:val="22"/>
          <w:szCs w:val="22"/>
        </w:rPr>
        <w:t xml:space="preserve">point 16 of </w:t>
      </w:r>
      <w:r w:rsidRPr="00A61B8A">
        <w:rPr>
          <w:color w:val="000000"/>
          <w:sz w:val="22"/>
          <w:szCs w:val="22"/>
        </w:rPr>
        <w:t xml:space="preserve">the </w:t>
      </w:r>
      <w:r w:rsidR="00412107" w:rsidRPr="00A61B8A">
        <w:rPr>
          <w:color w:val="000000"/>
          <w:sz w:val="22"/>
          <w:szCs w:val="22"/>
        </w:rPr>
        <w:t xml:space="preserve">contract </w:t>
      </w:r>
      <w:r w:rsidRPr="00A61B8A">
        <w:rPr>
          <w:color w:val="000000"/>
          <w:sz w:val="22"/>
          <w:szCs w:val="22"/>
        </w:rPr>
        <w:t xml:space="preserve">notice. </w:t>
      </w:r>
      <w:r w:rsidR="00C3216F" w:rsidRPr="00A61B8A">
        <w:rPr>
          <w:sz w:val="22"/>
          <w:szCs w:val="22"/>
        </w:rPr>
        <w:t>(S</w:t>
      </w:r>
      <w:r w:rsidRPr="00A61B8A">
        <w:rPr>
          <w:sz w:val="22"/>
          <w:szCs w:val="22"/>
        </w:rPr>
        <w:t xml:space="preserve">ee further </w:t>
      </w:r>
      <w:r w:rsidR="00543D27" w:rsidRPr="00A61B8A">
        <w:rPr>
          <w:sz w:val="22"/>
          <w:szCs w:val="22"/>
        </w:rPr>
        <w:t>Section</w:t>
      </w:r>
      <w:r w:rsidRPr="00A61B8A">
        <w:rPr>
          <w:sz w:val="22"/>
          <w:szCs w:val="22"/>
        </w:rPr>
        <w:t xml:space="preserve"> 2.</w:t>
      </w:r>
      <w:r w:rsidR="00C330E1" w:rsidRPr="00A61B8A">
        <w:rPr>
          <w:sz w:val="22"/>
          <w:szCs w:val="22"/>
        </w:rPr>
        <w:t>6</w:t>
      </w:r>
      <w:r w:rsidRPr="00A61B8A">
        <w:rPr>
          <w:sz w:val="22"/>
          <w:szCs w:val="22"/>
        </w:rPr>
        <w:t xml:space="preserve">.11 of the </w:t>
      </w:r>
      <w:r w:rsidR="00C330E1" w:rsidRPr="00A61B8A">
        <w:rPr>
          <w:sz w:val="22"/>
          <w:szCs w:val="22"/>
        </w:rPr>
        <w:t>p</w:t>
      </w:r>
      <w:r w:rsidRPr="00A61B8A">
        <w:rPr>
          <w:sz w:val="22"/>
          <w:szCs w:val="22"/>
        </w:rPr>
        <w:t xml:space="preserve">ractical </w:t>
      </w:r>
      <w:r w:rsidR="00C330E1" w:rsidRPr="00A61B8A">
        <w:rPr>
          <w:sz w:val="22"/>
          <w:szCs w:val="22"/>
        </w:rPr>
        <w:t>g</w:t>
      </w:r>
      <w:r w:rsidRPr="00A61B8A">
        <w:rPr>
          <w:sz w:val="22"/>
          <w:szCs w:val="22"/>
        </w:rPr>
        <w:t>uide).</w:t>
      </w:r>
      <w:r w:rsidR="00804556" w:rsidRPr="00A61B8A">
        <w:rPr>
          <w:sz w:val="22"/>
          <w:szCs w:val="22"/>
        </w:rPr>
        <w:t>]</w:t>
      </w:r>
      <w:r w:rsidRPr="00A61B8A">
        <w:rPr>
          <w:color w:val="000000"/>
          <w:sz w:val="22"/>
          <w:szCs w:val="22"/>
        </w:rPr>
        <w:t xml:space="preserve"> </w:t>
      </w:r>
    </w:p>
    <w:p w14:paraId="6824416D" w14:textId="77777777" w:rsidR="003121C6" w:rsidRPr="00A61B8A" w:rsidRDefault="003121C6" w:rsidP="003436FE">
      <w:pPr>
        <w:spacing w:before="120" w:after="120"/>
        <w:jc w:val="both"/>
        <w:rPr>
          <w:sz w:val="22"/>
          <w:szCs w:val="22"/>
        </w:rPr>
      </w:pPr>
      <w:r w:rsidRPr="00A61B8A">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sidRPr="00A61B8A">
        <w:rPr>
          <w:sz w:val="22"/>
          <w:szCs w:val="22"/>
        </w:rPr>
        <w:t xml:space="preserve">. Documentary proof or statements may be in original or copy. If copies are submitted, the originals must be available to send to the </w:t>
      </w:r>
      <w:r w:rsidR="00C330E1" w:rsidRPr="00A61B8A">
        <w:rPr>
          <w:sz w:val="22"/>
          <w:szCs w:val="22"/>
        </w:rPr>
        <w:t>c</w:t>
      </w:r>
      <w:r w:rsidRPr="00A61B8A">
        <w:rPr>
          <w:sz w:val="22"/>
          <w:szCs w:val="22"/>
        </w:rPr>
        <w:t xml:space="preserve">ontracting </w:t>
      </w:r>
      <w:r w:rsidR="00C330E1" w:rsidRPr="00A61B8A">
        <w:rPr>
          <w:sz w:val="22"/>
          <w:szCs w:val="22"/>
        </w:rPr>
        <w:t>a</w:t>
      </w:r>
      <w:r w:rsidRPr="00A61B8A">
        <w:rPr>
          <w:sz w:val="22"/>
          <w:szCs w:val="22"/>
        </w:rPr>
        <w:t>uthority upon request.</w:t>
      </w:r>
    </w:p>
    <w:p w14:paraId="51EEE3F7" w14:textId="77777777" w:rsidR="003436FE" w:rsidRPr="00A61B8A" w:rsidRDefault="003436FE" w:rsidP="003436FE">
      <w:pPr>
        <w:spacing w:before="120" w:after="120"/>
        <w:jc w:val="both"/>
        <w:rPr>
          <w:sz w:val="22"/>
          <w:szCs w:val="22"/>
        </w:rPr>
      </w:pPr>
      <w:r w:rsidRPr="00A61B8A">
        <w:rPr>
          <w:sz w:val="22"/>
          <w:szCs w:val="22"/>
        </w:rPr>
        <w:t>Tenderers are reminded that the provision of false information in this tender procedure may lead to</w:t>
      </w:r>
      <w:r w:rsidR="00B36721" w:rsidRPr="00A61B8A">
        <w:rPr>
          <w:sz w:val="22"/>
          <w:szCs w:val="22"/>
        </w:rPr>
        <w:t xml:space="preserve"> the rejection of their tender and to</w:t>
      </w:r>
      <w:r w:rsidRPr="00A61B8A">
        <w:rPr>
          <w:sz w:val="22"/>
          <w:szCs w:val="22"/>
        </w:rPr>
        <w:t xml:space="preserve"> their exclusion from EU-funded </w:t>
      </w:r>
      <w:r w:rsidR="00B36721" w:rsidRPr="00A61B8A">
        <w:rPr>
          <w:sz w:val="22"/>
          <w:szCs w:val="22"/>
        </w:rPr>
        <w:t xml:space="preserve">procedures and </w:t>
      </w:r>
      <w:r w:rsidRPr="00A61B8A">
        <w:rPr>
          <w:sz w:val="22"/>
          <w:szCs w:val="22"/>
        </w:rPr>
        <w:t>contracts.</w:t>
      </w:r>
    </w:p>
    <w:p w14:paraId="54AC4DC0" w14:textId="77777777" w:rsidR="003436FE" w:rsidRPr="002B370E" w:rsidRDefault="00E22E88" w:rsidP="003436FE">
      <w:pPr>
        <w:spacing w:before="120" w:after="120"/>
        <w:jc w:val="both"/>
        <w:rPr>
          <w:sz w:val="22"/>
          <w:szCs w:val="22"/>
        </w:rPr>
      </w:pPr>
      <w:r w:rsidRPr="00A61B8A">
        <w:rPr>
          <w:sz w:val="22"/>
          <w:szCs w:val="22"/>
        </w:rPr>
        <w:t>T</w:t>
      </w:r>
      <w:r w:rsidR="003436FE" w:rsidRPr="00A61B8A">
        <w:rPr>
          <w:sz w:val="22"/>
          <w:szCs w:val="22"/>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p>
    <w:p w14:paraId="712FA27A"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B791975" w14:textId="77777777" w:rsidR="008531BA" w:rsidRPr="00A61B8A" w:rsidRDefault="003436FE" w:rsidP="003436FE">
      <w:pPr>
        <w:shd w:val="clear" w:color="auto" w:fill="FFFFFF"/>
        <w:spacing w:before="120" w:after="120"/>
        <w:jc w:val="both"/>
        <w:rPr>
          <w:sz w:val="22"/>
          <w:szCs w:val="22"/>
        </w:rPr>
      </w:pPr>
      <w:r w:rsidRPr="00A61B8A">
        <w:rPr>
          <w:sz w:val="22"/>
          <w:szCs w:val="22"/>
        </w:rPr>
        <w:t xml:space="preserve">The </w:t>
      </w:r>
      <w:r w:rsidR="00543D27" w:rsidRPr="00A61B8A">
        <w:rPr>
          <w:sz w:val="22"/>
          <w:szCs w:val="22"/>
        </w:rPr>
        <w:t>f</w:t>
      </w:r>
      <w:r w:rsidRPr="00A61B8A">
        <w:rPr>
          <w:sz w:val="22"/>
          <w:szCs w:val="22"/>
        </w:rPr>
        <w:t xml:space="preserve">inancial offer must be presented as an amount in </w:t>
      </w:r>
      <w:r w:rsidR="00E33957" w:rsidRPr="00A61B8A">
        <w:rPr>
          <w:sz w:val="22"/>
          <w:szCs w:val="22"/>
        </w:rPr>
        <w:t>[</w:t>
      </w:r>
      <w:r w:rsidRPr="00A61B8A">
        <w:rPr>
          <w:sz w:val="22"/>
          <w:szCs w:val="22"/>
        </w:rPr>
        <w:t>Euro</w:t>
      </w:r>
      <w:r w:rsidR="00E33957" w:rsidRPr="00A61B8A">
        <w:rPr>
          <w:sz w:val="22"/>
          <w:szCs w:val="22"/>
        </w:rPr>
        <w:t xml:space="preserve">] </w:t>
      </w:r>
      <w:r w:rsidRPr="00A61B8A">
        <w:rPr>
          <w:sz w:val="22"/>
          <w:szCs w:val="22"/>
        </w:rPr>
        <w:t>and must be submitted using the template for the global-price version of Annex V to part B of this tender dossier. The electronic version of this document ‘B8 — Budget for a global-price contract’ can be found on the website</w:t>
      </w:r>
    </w:p>
    <w:p w14:paraId="7FD27025" w14:textId="77777777" w:rsidR="005F1DD5" w:rsidRPr="00A61B8A" w:rsidRDefault="00C00E08" w:rsidP="003436FE">
      <w:pPr>
        <w:shd w:val="clear" w:color="auto" w:fill="FFFFFF"/>
        <w:spacing w:before="120" w:after="120"/>
        <w:jc w:val="both"/>
        <w:rPr>
          <w:color w:val="0000FF"/>
          <w:sz w:val="22"/>
          <w:szCs w:val="22"/>
        </w:rPr>
      </w:pPr>
      <w:hyperlink r:id="rId9" w:history="1">
        <w:r w:rsidR="00996707" w:rsidRPr="00A61B8A">
          <w:rPr>
            <w:rStyle w:val="Kpr"/>
            <w:sz w:val="22"/>
            <w:szCs w:val="22"/>
          </w:rPr>
          <w:t>http://ec.europa.eu/europeaid/prag/document.do</w:t>
        </w:r>
      </w:hyperlink>
      <w:r w:rsidR="005D1583" w:rsidRPr="00A61B8A">
        <w:rPr>
          <w:sz w:val="22"/>
          <w:szCs w:val="22"/>
        </w:rPr>
        <w:t>.</w:t>
      </w:r>
    </w:p>
    <w:p w14:paraId="4725490E" w14:textId="77777777" w:rsidR="003436FE" w:rsidRPr="002B370E" w:rsidRDefault="003436FE" w:rsidP="003436FE">
      <w:pPr>
        <w:shd w:val="clear" w:color="auto" w:fill="FFFFFF"/>
        <w:spacing w:before="120" w:after="120"/>
        <w:jc w:val="both"/>
        <w:rPr>
          <w:sz w:val="22"/>
          <w:szCs w:val="22"/>
        </w:rPr>
      </w:pPr>
      <w:r w:rsidRPr="00A61B8A">
        <w:rPr>
          <w:sz w:val="22"/>
          <w:szCs w:val="22"/>
        </w:rPr>
        <w:t xml:space="preserve">The global price </w:t>
      </w:r>
      <w:r w:rsidR="008531BA" w:rsidRPr="00A61B8A">
        <w:rPr>
          <w:sz w:val="22"/>
          <w:szCs w:val="22"/>
        </w:rPr>
        <w:t>may</w:t>
      </w:r>
      <w:r w:rsidRPr="00A61B8A">
        <w:rPr>
          <w:sz w:val="22"/>
          <w:szCs w:val="22"/>
        </w:rPr>
        <w:t xml:space="preserve"> be broken down </w:t>
      </w:r>
      <w:r w:rsidR="008531BA" w:rsidRPr="00A61B8A">
        <w:rPr>
          <w:sz w:val="22"/>
          <w:szCs w:val="22"/>
        </w:rPr>
        <w:t xml:space="preserve">by outputs if required from the </w:t>
      </w:r>
      <w:r w:rsidR="00543D27" w:rsidRPr="00A61B8A">
        <w:rPr>
          <w:sz w:val="22"/>
          <w:szCs w:val="22"/>
        </w:rPr>
        <w:t>t</w:t>
      </w:r>
      <w:r w:rsidR="008531BA" w:rsidRPr="00A61B8A">
        <w:rPr>
          <w:sz w:val="22"/>
          <w:szCs w:val="22"/>
        </w:rPr>
        <w:t xml:space="preserve">erms of </w:t>
      </w:r>
      <w:r w:rsidR="00543D27" w:rsidRPr="00A61B8A">
        <w:rPr>
          <w:sz w:val="22"/>
          <w:szCs w:val="22"/>
        </w:rPr>
        <w:t>r</w:t>
      </w:r>
      <w:r w:rsidR="008531BA" w:rsidRPr="00A61B8A">
        <w:rPr>
          <w:sz w:val="22"/>
          <w:szCs w:val="22"/>
        </w:rPr>
        <w:t>eference</w:t>
      </w:r>
      <w:r w:rsidR="0012008D">
        <w:rPr>
          <w:sz w:val="22"/>
          <w:szCs w:val="22"/>
        </w:rPr>
        <w:t>.</w:t>
      </w:r>
    </w:p>
    <w:p w14:paraId="7C70839C" w14:textId="5D307A9E"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32747D">
        <w:rPr>
          <w:b/>
          <w:sz w:val="22"/>
          <w:szCs w:val="22"/>
        </w:rPr>
        <w:t>EUR</w:t>
      </w:r>
      <w:r w:rsidR="00F93944" w:rsidRPr="0032747D">
        <w:rPr>
          <w:b/>
          <w:sz w:val="22"/>
          <w:szCs w:val="22"/>
          <w:lang w:val="bg-BG"/>
        </w:rPr>
        <w:t xml:space="preserve"> </w:t>
      </w:r>
      <w:r w:rsidR="0053692D">
        <w:rPr>
          <w:b/>
          <w:sz w:val="22"/>
          <w:szCs w:val="22"/>
          <w:lang w:val="en-US"/>
        </w:rPr>
        <w:t>24.595</w:t>
      </w:r>
      <w:r w:rsidR="00076C4B" w:rsidRPr="0032747D">
        <w:rPr>
          <w:b/>
          <w:sz w:val="22"/>
          <w:szCs w:val="22"/>
          <w:lang w:val="bg-BG"/>
        </w:rPr>
        <w:t xml:space="preserve"> </w:t>
      </w:r>
      <w:r w:rsidR="00185BA4" w:rsidRPr="0032747D">
        <w:rPr>
          <w:b/>
          <w:sz w:val="22"/>
          <w:szCs w:val="22"/>
          <w:lang w:val="en-US"/>
        </w:rPr>
        <w:t>without VAT</w:t>
      </w:r>
      <w:r w:rsidR="00185BA4" w:rsidRPr="00480BF1">
        <w:rPr>
          <w:b/>
          <w:sz w:val="22"/>
          <w:szCs w:val="22"/>
          <w:lang w:val="en-US"/>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0375FC9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6068360C"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8EE5A9B"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B16A389"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7E8C6D39" w14:textId="77777777" w:rsidR="003436FE" w:rsidRPr="002B370E" w:rsidRDefault="003436FE" w:rsidP="003436FE">
      <w:pPr>
        <w:pStyle w:val="GvdeMetni"/>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C471539"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7E060CBC" w14:textId="77777777"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w:t>
      </w:r>
      <w:r w:rsidR="00BC3DB7">
        <w:rPr>
          <w:sz w:val="22"/>
          <w:szCs w:val="22"/>
        </w:rPr>
        <w:t>tenderer</w:t>
      </w:r>
      <w:r w:rsidR="00BC3DB7" w:rsidRPr="002B370E">
        <w:rPr>
          <w:sz w:val="22"/>
          <w:szCs w:val="22"/>
        </w:rPr>
        <w:t xml:space="preserve">s </w:t>
      </w:r>
      <w:r w:rsidRPr="002B370E">
        <w:rPr>
          <w:sz w:val="22"/>
          <w:szCs w:val="22"/>
        </w:rPr>
        <w:t xml:space="preserve">having to request additional information during the procedure. If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14:paraId="49239131" w14:textId="77777777" w:rsidR="003436FE" w:rsidRPr="002B370E" w:rsidRDefault="003436FE" w:rsidP="003436FE">
      <w:pPr>
        <w:keepNext/>
        <w:spacing w:before="120" w:after="120"/>
        <w:jc w:val="both"/>
        <w:rPr>
          <w:sz w:val="22"/>
          <w:szCs w:val="22"/>
        </w:rPr>
      </w:pPr>
      <w:r w:rsidRPr="002B370E">
        <w:rPr>
          <w:sz w:val="22"/>
          <w:szCs w:val="22"/>
        </w:rPr>
        <w:lastRenderedPageBreak/>
        <w:t>Tenderers may submit questions in writing to the following address up to 21 days before the deadline for submission of tenders, specifying the publication reference and the contract title:</w:t>
      </w:r>
    </w:p>
    <w:p w14:paraId="7485D93E" w14:textId="4EA5E957" w:rsidR="005F030C" w:rsidRPr="0005189D" w:rsidRDefault="001E0677" w:rsidP="005F030C">
      <w:pPr>
        <w:pStyle w:val="GvdeMetni"/>
        <w:spacing w:before="240"/>
        <w:rPr>
          <w:sz w:val="22"/>
          <w:szCs w:val="22"/>
        </w:rPr>
      </w:pPr>
      <w:r w:rsidRPr="0005189D">
        <w:rPr>
          <w:sz w:val="22"/>
          <w:szCs w:val="22"/>
        </w:rPr>
        <w:t>Mr. Kemal ALTINTAŞ</w:t>
      </w:r>
    </w:p>
    <w:p w14:paraId="438BC671" w14:textId="77777777" w:rsidR="00D01976" w:rsidRPr="0005189D" w:rsidRDefault="00D01976" w:rsidP="00D01976">
      <w:pPr>
        <w:rPr>
          <w:sz w:val="22"/>
          <w:szCs w:val="22"/>
        </w:rPr>
      </w:pPr>
    </w:p>
    <w:p w14:paraId="6CB555AA" w14:textId="330BE256" w:rsidR="00D01976" w:rsidRPr="0005189D" w:rsidRDefault="00D01976" w:rsidP="00D01976">
      <w:pPr>
        <w:rPr>
          <w:sz w:val="22"/>
          <w:szCs w:val="22"/>
        </w:rPr>
      </w:pPr>
      <w:r w:rsidRPr="0005189D">
        <w:rPr>
          <w:sz w:val="22"/>
          <w:szCs w:val="22"/>
        </w:rPr>
        <w:t>Kırklareli Municipality Culture, Art and Sports Club Association</w:t>
      </w:r>
    </w:p>
    <w:p w14:paraId="69F6B98F" w14:textId="77777777" w:rsidR="00C22F64" w:rsidRPr="0005189D" w:rsidRDefault="00C22F64" w:rsidP="00D01976">
      <w:pPr>
        <w:rPr>
          <w:sz w:val="22"/>
          <w:szCs w:val="22"/>
        </w:rPr>
      </w:pPr>
    </w:p>
    <w:p w14:paraId="1B495BC3" w14:textId="39398542" w:rsidR="001E0677" w:rsidRPr="0005189D" w:rsidRDefault="00C22F64" w:rsidP="00C22F64">
      <w:pPr>
        <w:rPr>
          <w:sz w:val="22"/>
          <w:szCs w:val="22"/>
        </w:rPr>
      </w:pPr>
      <w:r w:rsidRPr="0005189D">
        <w:rPr>
          <w:sz w:val="22"/>
          <w:szCs w:val="22"/>
        </w:rPr>
        <w:t>Cumhuriyet Mahallesi,200 Konutlar Lokali- Nazmi Üstündağ Spor Tesisleri</w:t>
      </w:r>
    </w:p>
    <w:p w14:paraId="6EE3671E" w14:textId="77777777" w:rsidR="00C22F64" w:rsidRPr="0005189D" w:rsidRDefault="00C22F64" w:rsidP="00C22F64">
      <w:pPr>
        <w:pStyle w:val="GvdeMetni"/>
        <w:spacing w:before="240"/>
        <w:rPr>
          <w:sz w:val="22"/>
          <w:szCs w:val="22"/>
        </w:rPr>
      </w:pPr>
      <w:r w:rsidRPr="0005189D">
        <w:rPr>
          <w:sz w:val="22"/>
          <w:szCs w:val="22"/>
        </w:rPr>
        <w:t>Kırklareli/TURKEY</w:t>
      </w:r>
    </w:p>
    <w:p w14:paraId="2E1F11CB" w14:textId="51E4E5E4" w:rsidR="005F030C" w:rsidRPr="0005189D" w:rsidRDefault="005F030C" w:rsidP="005F030C">
      <w:pPr>
        <w:pStyle w:val="GvdeMetni"/>
        <w:spacing w:before="240"/>
        <w:rPr>
          <w:sz w:val="22"/>
          <w:szCs w:val="22"/>
        </w:rPr>
      </w:pPr>
      <w:r w:rsidRPr="0005189D">
        <w:rPr>
          <w:sz w:val="22"/>
          <w:szCs w:val="22"/>
        </w:rPr>
        <w:t xml:space="preserve">E-mail: </w:t>
      </w:r>
      <w:r w:rsidR="001E0677" w:rsidRPr="0005189D">
        <w:rPr>
          <w:sz w:val="22"/>
          <w:szCs w:val="22"/>
        </w:rPr>
        <w:t>kemal_altintas@outlook.com</w:t>
      </w:r>
    </w:p>
    <w:p w14:paraId="78FA5D87" w14:textId="77777777" w:rsidR="003436FE" w:rsidRPr="002B370E" w:rsidRDefault="003436FE" w:rsidP="005F030C">
      <w:pPr>
        <w:pStyle w:val="GvdeMetni"/>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p>
    <w:p w14:paraId="37E2FA81" w14:textId="77777777" w:rsidR="003436FE" w:rsidRDefault="003436FE" w:rsidP="003436FE">
      <w:pPr>
        <w:pStyle w:val="GvdeMetni"/>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19B10773" w14:textId="77777777" w:rsidR="000C5425" w:rsidRPr="002B370E" w:rsidRDefault="000C5425" w:rsidP="003436FE">
      <w:pPr>
        <w:pStyle w:val="GvdeMetni"/>
        <w:spacing w:before="120" w:after="120"/>
        <w:jc w:val="both"/>
        <w:rPr>
          <w:sz w:val="22"/>
          <w:szCs w:val="22"/>
        </w:rPr>
      </w:pPr>
      <w:r>
        <w:rPr>
          <w:sz w:val="22"/>
          <w:szCs w:val="22"/>
        </w:rPr>
        <w:t xml:space="preserve">No information meeting or site visit is foreseen. </w:t>
      </w:r>
    </w:p>
    <w:p w14:paraId="37777F6D"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7E60385C" w14:textId="0ADBA02C"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b/>
          <w:sz w:val="22"/>
          <w:szCs w:val="22"/>
        </w:rPr>
        <w:t xml:space="preserve"> </w:t>
      </w:r>
      <w:r w:rsidRPr="0032747D">
        <w:rPr>
          <w:sz w:val="22"/>
          <w:szCs w:val="22"/>
        </w:rPr>
        <w:t xml:space="preserve">before </w:t>
      </w:r>
      <w:r w:rsidR="0032747D" w:rsidRPr="0032747D">
        <w:rPr>
          <w:sz w:val="22"/>
          <w:szCs w:val="22"/>
          <w:lang w:val="en-US"/>
        </w:rPr>
        <w:t>0</w:t>
      </w:r>
      <w:r w:rsidR="005420CE">
        <w:rPr>
          <w:sz w:val="22"/>
          <w:szCs w:val="22"/>
          <w:lang w:val="en-US"/>
        </w:rPr>
        <w:t>8</w:t>
      </w:r>
      <w:r w:rsidR="005F030C" w:rsidRPr="0032747D">
        <w:rPr>
          <w:sz w:val="22"/>
          <w:szCs w:val="22"/>
        </w:rPr>
        <w:t>.</w:t>
      </w:r>
      <w:r w:rsidR="005420CE">
        <w:rPr>
          <w:sz w:val="22"/>
          <w:szCs w:val="22"/>
        </w:rPr>
        <w:t>01</w:t>
      </w:r>
      <w:r w:rsidR="005F030C" w:rsidRPr="0032747D">
        <w:rPr>
          <w:sz w:val="22"/>
          <w:szCs w:val="22"/>
        </w:rPr>
        <w:t>.202</w:t>
      </w:r>
      <w:r w:rsidR="005420CE">
        <w:rPr>
          <w:sz w:val="22"/>
          <w:szCs w:val="22"/>
        </w:rPr>
        <w:t>1</w:t>
      </w:r>
      <w:r w:rsidR="005F030C">
        <w:rPr>
          <w:sz w:val="22"/>
          <w:szCs w:val="22"/>
        </w:rPr>
        <w:t>, 17:30 EET</w:t>
      </w:r>
      <w:r w:rsidRPr="002B370E">
        <w:rPr>
          <w:sz w:val="22"/>
          <w:szCs w:val="22"/>
        </w:rPr>
        <w:t>. They must include the requested documents in clause 4 above and be s</w:t>
      </w:r>
      <w:r>
        <w:rPr>
          <w:sz w:val="22"/>
          <w:szCs w:val="22"/>
        </w:rPr>
        <w:t>ent</w:t>
      </w:r>
      <w:r w:rsidRPr="002B370E">
        <w:rPr>
          <w:sz w:val="22"/>
          <w:szCs w:val="22"/>
        </w:rPr>
        <w:t>:</w:t>
      </w:r>
    </w:p>
    <w:p w14:paraId="4C5F115D"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DipnotBavurusu"/>
          <w:sz w:val="22"/>
          <w:szCs w:val="22"/>
        </w:rPr>
        <w:footnoteReference w:id="2"/>
      </w:r>
      <w:r w:rsidR="00D44374" w:rsidRPr="00D44374">
        <w:rPr>
          <w:sz w:val="22"/>
          <w:szCs w:val="22"/>
        </w:rPr>
        <w:t xml:space="preserve">, </w:t>
      </w:r>
      <w:r w:rsidRPr="002B370E">
        <w:rPr>
          <w:sz w:val="22"/>
          <w:szCs w:val="22"/>
        </w:rPr>
        <w:t>to:</w:t>
      </w:r>
    </w:p>
    <w:p w14:paraId="279301A0" w14:textId="3CEB4526" w:rsidR="005420CE" w:rsidRPr="005420CE" w:rsidRDefault="005420CE" w:rsidP="005420CE">
      <w:pPr>
        <w:ind w:left="720"/>
        <w:rPr>
          <w:sz w:val="22"/>
          <w:szCs w:val="22"/>
        </w:rPr>
      </w:pPr>
      <w:r>
        <w:t xml:space="preserve">             </w:t>
      </w:r>
      <w:r w:rsidRPr="005420CE">
        <w:rPr>
          <w:sz w:val="22"/>
          <w:szCs w:val="22"/>
        </w:rPr>
        <w:t>Kırklareli Municipality Culture, Art and Sports Club Association</w:t>
      </w:r>
    </w:p>
    <w:p w14:paraId="65BA1705" w14:textId="76A75840" w:rsidR="005420CE" w:rsidRPr="0005189D" w:rsidRDefault="001168F4" w:rsidP="005420CE">
      <w:pPr>
        <w:pStyle w:val="GvdeMetni"/>
        <w:spacing w:before="240"/>
        <w:jc w:val="center"/>
        <w:rPr>
          <w:sz w:val="22"/>
          <w:szCs w:val="22"/>
        </w:rPr>
      </w:pPr>
      <w:r w:rsidRPr="001168F4">
        <w:rPr>
          <w:snapToGrid w:val="0"/>
          <w:sz w:val="22"/>
          <w:szCs w:val="22"/>
          <w:lang w:val="en-US" w:eastAsia="en-US"/>
        </w:rPr>
        <w:t>YAYLA MAH. KÜÇÜK YAYLA SK. KADIN DAYANIŞMA VE EĞITIM MERKEZI Kapı No:2</w:t>
      </w:r>
      <w:r>
        <w:rPr>
          <w:snapToGrid w:val="0"/>
          <w:sz w:val="22"/>
          <w:szCs w:val="22"/>
          <w:lang w:val="en-US" w:eastAsia="en-US"/>
        </w:rPr>
        <w:t xml:space="preserve"> </w:t>
      </w:r>
      <w:r w:rsidR="005420CE" w:rsidRPr="0005189D">
        <w:rPr>
          <w:sz w:val="22"/>
          <w:szCs w:val="22"/>
        </w:rPr>
        <w:t>Kırklareli/TURKEY</w:t>
      </w:r>
    </w:p>
    <w:p w14:paraId="73FF6219"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Gl"/>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Gl"/>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Gl"/>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167D7DE1" w14:textId="2F8F23A6" w:rsidR="00E32F5C" w:rsidRPr="005420CE" w:rsidRDefault="00E32F5C" w:rsidP="00E32F5C">
      <w:pPr>
        <w:ind w:left="720"/>
        <w:rPr>
          <w:sz w:val="22"/>
          <w:szCs w:val="22"/>
        </w:rPr>
      </w:pPr>
      <w:r>
        <w:rPr>
          <w:sz w:val="22"/>
          <w:szCs w:val="22"/>
        </w:rPr>
        <w:t xml:space="preserve">            </w:t>
      </w:r>
      <w:r w:rsidRPr="005420CE">
        <w:rPr>
          <w:sz w:val="22"/>
          <w:szCs w:val="22"/>
        </w:rPr>
        <w:t>Kırklareli Municipality Culture, Art and Sports Club Association</w:t>
      </w:r>
    </w:p>
    <w:p w14:paraId="6752D70F" w14:textId="033A7885" w:rsidR="00E32F5C" w:rsidRPr="0005189D" w:rsidRDefault="00E32F5C" w:rsidP="00E32F5C">
      <w:pPr>
        <w:pStyle w:val="Blockquote"/>
        <w:keepNext/>
        <w:keepLines/>
        <w:spacing w:before="120" w:after="120"/>
        <w:ind w:left="720"/>
        <w:rPr>
          <w:sz w:val="22"/>
          <w:szCs w:val="22"/>
        </w:rPr>
      </w:pPr>
      <w:r>
        <w:rPr>
          <w:sz w:val="22"/>
          <w:szCs w:val="22"/>
        </w:rPr>
        <w:t xml:space="preserve"> </w:t>
      </w:r>
      <w:r w:rsidR="001168F4" w:rsidRPr="001168F4">
        <w:rPr>
          <w:sz w:val="22"/>
          <w:szCs w:val="22"/>
        </w:rPr>
        <w:t>YAYLA MAH. KÜÇÜK YAYLA SK. KADIN DAYANIŞMA VE EĞITIM MERKEZI Kapı No:2</w:t>
      </w:r>
      <w:r w:rsidR="001168F4">
        <w:rPr>
          <w:sz w:val="22"/>
          <w:szCs w:val="22"/>
        </w:rPr>
        <w:t xml:space="preserve"> </w:t>
      </w:r>
      <w:r w:rsidR="001168F4" w:rsidRPr="0005189D">
        <w:rPr>
          <w:sz w:val="22"/>
          <w:szCs w:val="22"/>
        </w:rPr>
        <w:t>Kırklareli/TURKEY</w:t>
      </w:r>
    </w:p>
    <w:p w14:paraId="69CA3B0F" w14:textId="4EAC1E6D" w:rsidR="003436FE" w:rsidRDefault="00E32F5C" w:rsidP="00E32F5C">
      <w:pPr>
        <w:pStyle w:val="Blockquote"/>
        <w:spacing w:before="120" w:after="120"/>
        <w:ind w:left="720"/>
        <w:rPr>
          <w:rStyle w:val="Vurgu"/>
          <w:i w:val="0"/>
          <w:sz w:val="22"/>
          <w:szCs w:val="22"/>
          <w:lang w:val="en-GB"/>
        </w:rPr>
      </w:pPr>
      <w:r>
        <w:rPr>
          <w:sz w:val="22"/>
          <w:szCs w:val="22"/>
        </w:rPr>
        <w:t xml:space="preserve">                                               </w:t>
      </w:r>
    </w:p>
    <w:p w14:paraId="0E489C26" w14:textId="77777777" w:rsidR="00D44374" w:rsidRDefault="003436FE" w:rsidP="003436FE">
      <w:pPr>
        <w:spacing w:before="120" w:after="120"/>
        <w:jc w:val="both"/>
        <w:rPr>
          <w:rStyle w:val="Gl"/>
          <w:sz w:val="22"/>
          <w:szCs w:val="22"/>
        </w:rPr>
      </w:pPr>
      <w:r w:rsidRPr="002B370E">
        <w:rPr>
          <w:rStyle w:val="Gl"/>
          <w:sz w:val="22"/>
          <w:szCs w:val="22"/>
        </w:rPr>
        <w:t xml:space="preserve">Tenders submitted by any other means will not be considered. </w:t>
      </w:r>
    </w:p>
    <w:p w14:paraId="129B0E49"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617FCE00" w14:textId="77777777" w:rsidR="007B7D7B" w:rsidRDefault="007B7D7B" w:rsidP="003436FE">
      <w:pPr>
        <w:spacing w:before="120" w:after="120"/>
        <w:jc w:val="both"/>
        <w:rPr>
          <w:rStyle w:val="Gl"/>
          <w:sz w:val="22"/>
          <w:szCs w:val="22"/>
        </w:rPr>
      </w:pPr>
    </w:p>
    <w:p w14:paraId="7F0EBAC6"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38BFBBB8"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2E91607B"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1A2F11F9" w14:textId="6A925A25" w:rsidR="003436FE" w:rsidRPr="002B370E" w:rsidRDefault="003436FE" w:rsidP="005F030C">
      <w:pPr>
        <w:numPr>
          <w:ilvl w:val="0"/>
          <w:numId w:val="24"/>
        </w:numPr>
        <w:spacing w:before="120" w:after="120"/>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00E3047E">
        <w:rPr>
          <w:sz w:val="22"/>
          <w:szCs w:val="22"/>
        </w:rPr>
        <w:t xml:space="preserve"> </w:t>
      </w:r>
      <w:r w:rsidR="00E3047E" w:rsidRPr="00782AC1">
        <w:rPr>
          <w:bCs/>
          <w:sz w:val="22"/>
          <w:szCs w:val="22"/>
        </w:rPr>
        <w:t>CB005.2.22.</w:t>
      </w:r>
      <w:r w:rsidR="00E3047E">
        <w:rPr>
          <w:bCs/>
          <w:sz w:val="22"/>
          <w:szCs w:val="22"/>
        </w:rPr>
        <w:t>098-TR-SERVICE-01</w:t>
      </w:r>
      <w:r w:rsidR="00E3047E">
        <w:rPr>
          <w:b/>
          <w:sz w:val="22"/>
          <w:szCs w:val="22"/>
        </w:rPr>
        <w:t xml:space="preserve"> </w:t>
      </w:r>
      <w:r w:rsidRPr="002B370E">
        <w:rPr>
          <w:sz w:val="22"/>
          <w:szCs w:val="22"/>
        </w:rPr>
        <w:t>);</w:t>
      </w:r>
    </w:p>
    <w:p w14:paraId="1AD13548" w14:textId="6CDBCA3D"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5F030C">
        <w:rPr>
          <w:sz w:val="22"/>
          <w:szCs w:val="22"/>
        </w:rPr>
        <w:t>“</w:t>
      </w:r>
      <w:r w:rsidR="00ED74BE">
        <w:rPr>
          <w:sz w:val="22"/>
          <w:szCs w:val="22"/>
          <w:lang w:val="tr-TR"/>
        </w:rPr>
        <w:t>İhale Oturumundan Önce Aç</w:t>
      </w:r>
      <w:r w:rsidR="00E43AF1">
        <w:rPr>
          <w:sz w:val="22"/>
          <w:szCs w:val="22"/>
          <w:lang w:val="tr-TR"/>
        </w:rPr>
        <w:t>mayınız</w:t>
      </w:r>
      <w:r w:rsidR="005F030C">
        <w:rPr>
          <w:sz w:val="22"/>
          <w:szCs w:val="22"/>
        </w:rPr>
        <w:t>”</w:t>
      </w:r>
      <w:r w:rsidRPr="002B370E">
        <w:rPr>
          <w:sz w:val="22"/>
          <w:szCs w:val="22"/>
        </w:rPr>
        <w:t>;</w:t>
      </w:r>
    </w:p>
    <w:p w14:paraId="66F5CAFE"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7E79692E"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12C51408"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2D9E365F"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2998AE95"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616E5C53"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61D8BFF5"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5348F1BE"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06EFAC3"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2C96E488"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33C9F924"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6667BBB5"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34990298" w14:textId="77777777" w:rsidR="003436FE" w:rsidRDefault="003436FE" w:rsidP="00A94AD3">
      <w:pPr>
        <w:pStyle w:val="GvdeMetni"/>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0" w:history="1">
        <w:r w:rsidR="00996707" w:rsidRPr="005D1583">
          <w:rPr>
            <w:rStyle w:val="Kpr"/>
            <w:sz w:val="22"/>
            <w:szCs w:val="22"/>
          </w:rPr>
          <w:t>http://ec.europa.eu/europeaid/prag/document.do</w:t>
        </w:r>
      </w:hyperlink>
      <w:r w:rsidRPr="0059570B">
        <w:rPr>
          <w:sz w:val="22"/>
          <w:szCs w:val="22"/>
        </w:rPr>
        <w:t>).</w:t>
      </w:r>
    </w:p>
    <w:p w14:paraId="6D055403" w14:textId="77777777" w:rsidR="003436FE" w:rsidRPr="002B370E" w:rsidRDefault="003436FE" w:rsidP="003436FE">
      <w:pPr>
        <w:keepNext/>
        <w:spacing w:before="120" w:after="120"/>
        <w:jc w:val="both"/>
        <w:rPr>
          <w:b/>
          <w:sz w:val="22"/>
          <w:szCs w:val="22"/>
        </w:rPr>
      </w:pPr>
      <w:r w:rsidRPr="002B370E">
        <w:rPr>
          <w:b/>
          <w:sz w:val="22"/>
          <w:szCs w:val="22"/>
        </w:rPr>
        <w:lastRenderedPageBreak/>
        <w:t>12.2</w:t>
      </w:r>
      <w:r w:rsidR="00010683">
        <w:rPr>
          <w:b/>
          <w:sz w:val="22"/>
          <w:szCs w:val="22"/>
        </w:rPr>
        <w:t>.</w:t>
      </w:r>
      <w:r w:rsidR="00010683">
        <w:rPr>
          <w:b/>
          <w:sz w:val="22"/>
          <w:szCs w:val="22"/>
        </w:rPr>
        <w:tab/>
      </w:r>
      <w:r w:rsidRPr="002B370E">
        <w:rPr>
          <w:b/>
          <w:sz w:val="22"/>
          <w:szCs w:val="22"/>
        </w:rPr>
        <w:t>Evaluation of financial offers</w:t>
      </w:r>
    </w:p>
    <w:p w14:paraId="0074EC48"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20993CEE"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1C347D6"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2BA7A5C3"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598EF0D5"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5BBA0C68"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0B7ADF08"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3CAE2F1"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970F166"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1CE99239"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79B6913"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301AEBF9"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13DB82C8"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6734E588"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7356790E" w14:textId="77777777" w:rsidR="003436FE" w:rsidRPr="002B370E"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576F087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59A3C8B7"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B58035F"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A864D1E"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0D49709D"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5571DC20"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0C168E19"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5855F9B9"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755A013A"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8EDF1CD" w14:textId="43144B78"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 xml:space="preserve">Within </w:t>
      </w:r>
      <w:r w:rsidR="001168F4">
        <w:rPr>
          <w:sz w:val="22"/>
          <w:szCs w:val="22"/>
        </w:rPr>
        <w:t>1</w:t>
      </w:r>
      <w:r w:rsidRPr="002B370E">
        <w:rPr>
          <w:sz w:val="22"/>
          <w:szCs w:val="22"/>
        </w:rPr>
        <w:t xml:space="preserve">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B621651"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7CFF2140" w14:textId="77777777" w:rsidR="003436FE" w:rsidRDefault="003436FE" w:rsidP="003436FE">
      <w:pPr>
        <w:pStyle w:val="GvdeMetni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62AB8FF4" w14:textId="77777777" w:rsidR="00F11E9B" w:rsidRPr="00F11E9B" w:rsidRDefault="00F11E9B" w:rsidP="00F11E9B">
      <w:pPr>
        <w:pStyle w:val="Style11ptJustifiedAfter12pt"/>
      </w:pPr>
      <w:r w:rsidRPr="00083096">
        <w:rPr>
          <w:rStyle w:val="Style11pt"/>
        </w:rPr>
        <w:lastRenderedPageBreak/>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6ABE7FA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2933CE62"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43815F97" w14:textId="77777777" w:rsidR="003436FE" w:rsidRPr="002B370E" w:rsidRDefault="003436FE" w:rsidP="003436FE">
      <w:pPr>
        <w:pStyle w:val="GvdeMetni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553D0377"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20BABD61"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7000137"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63B5FB1"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7ED2D26D"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78DFAA96" w14:textId="77777777" w:rsidR="003436FE" w:rsidRPr="002B370E" w:rsidRDefault="003436FE" w:rsidP="003436FE">
      <w:pPr>
        <w:pStyle w:val="GvdeMetni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37A03A99" w14:textId="77777777" w:rsidR="003436FE" w:rsidRPr="002B370E" w:rsidRDefault="003436FE" w:rsidP="003436FE">
      <w:pPr>
        <w:pStyle w:val="GvdeMetni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18F4CE0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0290E991" w14:textId="77777777" w:rsidR="003436FE" w:rsidRPr="002B370E" w:rsidRDefault="003436FE" w:rsidP="003436FE">
      <w:pPr>
        <w:pStyle w:val="GvdeMetni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0C5D1F4B"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6B863BE4" w14:textId="77777777" w:rsidR="00EB1484" w:rsidRPr="00DD3B79" w:rsidRDefault="00EB1484" w:rsidP="0089466D">
      <w:pPr>
        <w:spacing w:before="120"/>
        <w:jc w:val="both"/>
        <w:rPr>
          <w:sz w:val="22"/>
          <w:szCs w:val="22"/>
        </w:rPr>
      </w:pPr>
      <w:r w:rsidRPr="00DD3B79">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7B47AC7" w14:textId="77777777" w:rsidR="00EB1484" w:rsidRPr="00DD3B79" w:rsidRDefault="00EB1484" w:rsidP="0089466D">
      <w:pPr>
        <w:spacing w:before="120"/>
        <w:jc w:val="both"/>
        <w:rPr>
          <w:sz w:val="22"/>
          <w:szCs w:val="22"/>
        </w:rPr>
      </w:pPr>
      <w:r w:rsidRPr="00DD3B79">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w:t>
      </w:r>
      <w:r w:rsidRPr="00DD3B79">
        <w:rPr>
          <w:sz w:val="22"/>
          <w:szCs w:val="22"/>
        </w:rPr>
        <w:lastRenderedPageBreak/>
        <w:t xml:space="preserve">possible transmission to the bodies in charge of monitoring or inspection tasks in application of EU law. </w:t>
      </w:r>
      <w:r w:rsidRPr="00001D25">
        <w:rPr>
          <w:sz w:val="22"/>
          <w:szCs w:val="22"/>
        </w:rPr>
        <w:t>For the part of the data transferred by the contracting authority to the European Commission, the controller for the processing of personal data carried out within the Commission is</w:t>
      </w:r>
      <w:r w:rsidR="00001D25" w:rsidRPr="00001D25">
        <w:rPr>
          <w:sz w:val="22"/>
          <w:szCs w:val="22"/>
          <w:lang w:val="bg-BG"/>
        </w:rPr>
        <w:t xml:space="preserve"> </w:t>
      </w:r>
      <w:r w:rsidR="00001D25" w:rsidRPr="00001D25">
        <w:rPr>
          <w:sz w:val="22"/>
          <w:szCs w:val="22"/>
        </w:rPr>
        <w:t>the head of contracts and finance unit R4 of DG Neighbourhood and Enlargement Negotiations</w:t>
      </w:r>
    </w:p>
    <w:p w14:paraId="01D6F0A6" w14:textId="77777777" w:rsidR="00EB1484" w:rsidRPr="00DD3B79" w:rsidRDefault="00EB1484" w:rsidP="0089466D">
      <w:pPr>
        <w:spacing w:before="120"/>
        <w:jc w:val="both"/>
        <w:rPr>
          <w:sz w:val="22"/>
          <w:szCs w:val="22"/>
        </w:rPr>
      </w:pPr>
      <w:r w:rsidRPr="00DD3B79">
        <w:rPr>
          <w:sz w:val="22"/>
          <w:szCs w:val="22"/>
        </w:rPr>
        <w:t>Details concerning processing of your personal data by the Commission are available on the privacy statement at:</w:t>
      </w:r>
    </w:p>
    <w:p w14:paraId="2DDAC74E" w14:textId="77777777" w:rsidR="00EB1484" w:rsidRPr="00DD3B79" w:rsidRDefault="00C00E08" w:rsidP="00EB1484">
      <w:pPr>
        <w:ind w:left="720"/>
        <w:rPr>
          <w:color w:val="1F497D"/>
          <w:sz w:val="22"/>
          <w:szCs w:val="22"/>
        </w:rPr>
      </w:pPr>
      <w:hyperlink r:id="rId11" w:history="1">
        <w:r w:rsidR="00EB1484" w:rsidRPr="00DD3B79">
          <w:rPr>
            <w:rStyle w:val="Kpr"/>
            <w:sz w:val="22"/>
            <w:szCs w:val="22"/>
          </w:rPr>
          <w:t>http://ec.europa.eu/europeaid/prag/annexes.do?chapterTitleCode=A</w:t>
        </w:r>
      </w:hyperlink>
      <w:r w:rsidR="00EB1484" w:rsidRPr="00DD3B79">
        <w:rPr>
          <w:color w:val="1F497D"/>
          <w:sz w:val="22"/>
          <w:szCs w:val="22"/>
        </w:rPr>
        <w:t xml:space="preserve">  </w:t>
      </w:r>
    </w:p>
    <w:p w14:paraId="3D1CBB41" w14:textId="77777777" w:rsidR="00EB1484" w:rsidRPr="00DD3B79" w:rsidRDefault="00EB1484" w:rsidP="00EB1484">
      <w:pPr>
        <w:ind w:left="720"/>
        <w:rPr>
          <w:sz w:val="22"/>
          <w:szCs w:val="22"/>
        </w:rPr>
      </w:pPr>
    </w:p>
    <w:p w14:paraId="124874C6" w14:textId="77777777" w:rsidR="00EB1484" w:rsidRPr="00FF1FE0" w:rsidRDefault="00EB1484" w:rsidP="00EB1484">
      <w:pPr>
        <w:jc w:val="both"/>
        <w:rPr>
          <w:sz w:val="22"/>
          <w:szCs w:val="22"/>
        </w:rPr>
      </w:pPr>
      <w:r w:rsidRPr="00DD3B79">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0B48056" w14:textId="77777777" w:rsidR="003436FE" w:rsidRPr="002B370E" w:rsidRDefault="003436FE" w:rsidP="00FF1FE0">
      <w:pPr>
        <w:pStyle w:val="GvdeMetni"/>
        <w:ind w:left="567"/>
        <w:jc w:val="both"/>
        <w:rPr>
          <w:sz w:val="22"/>
          <w:szCs w:val="22"/>
        </w:rPr>
      </w:pPr>
    </w:p>
    <w:p w14:paraId="27AC23C2"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11E48C04" w14:textId="2CE807A1" w:rsidR="003436F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p w14:paraId="5C7965DB" w14:textId="38456F81" w:rsidR="00676181" w:rsidRDefault="00676181" w:rsidP="00A94AD3">
      <w:pPr>
        <w:keepNext/>
        <w:spacing w:after="60"/>
        <w:jc w:val="both"/>
        <w:rPr>
          <w:sz w:val="22"/>
          <w:szCs w:val="22"/>
        </w:rPr>
      </w:pPr>
    </w:p>
    <w:p w14:paraId="5AD385BF" w14:textId="77777777" w:rsidR="00676181" w:rsidRPr="002B370E" w:rsidRDefault="00676181" w:rsidP="00A94AD3">
      <w:pPr>
        <w:keepNext/>
        <w:spacing w:after="60"/>
        <w:jc w:val="both"/>
        <w:rPr>
          <w:sz w:val="22"/>
          <w:szCs w:val="22"/>
        </w:rPr>
      </w:pPr>
    </w:p>
    <w:sectPr w:rsidR="00676181"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D72AC" w14:textId="77777777" w:rsidR="00C00E08" w:rsidRDefault="00C00E08">
      <w:r>
        <w:separator/>
      </w:r>
    </w:p>
  </w:endnote>
  <w:endnote w:type="continuationSeparator" w:id="0">
    <w:p w14:paraId="64183D19" w14:textId="77777777" w:rsidR="00C00E08" w:rsidRDefault="00C0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onotype Sorts">
    <w:altName w:val="Courier New"/>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186C6" w14:textId="77777777" w:rsidR="00C06F58" w:rsidRDefault="00C06F58">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rPr>
      <w:t>13</w:t>
    </w:r>
    <w:r>
      <w:rPr>
        <w:rStyle w:val="SayfaNumaras"/>
      </w:rPr>
      <w:fldChar w:fldCharType="end"/>
    </w:r>
  </w:p>
  <w:p w14:paraId="53CC2814" w14:textId="77777777" w:rsidR="00C06F58" w:rsidRDefault="00C06F58">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41C9C" w14:textId="33FDA889" w:rsidR="00C06F58" w:rsidRPr="00A94AD3" w:rsidRDefault="00D17879" w:rsidP="009A733A">
    <w:pPr>
      <w:pStyle w:val="AltBilgi"/>
      <w:tabs>
        <w:tab w:val="clear" w:pos="4320"/>
        <w:tab w:val="clear" w:pos="8640"/>
        <w:tab w:val="right" w:pos="8080"/>
      </w:tabs>
      <w:spacing w:before="120"/>
      <w:rPr>
        <w:rStyle w:val="SayfaNumaras"/>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SayfaNumaras"/>
        <w:sz w:val="18"/>
        <w:szCs w:val="18"/>
      </w:rPr>
      <w:fldChar w:fldCharType="begin"/>
    </w:r>
    <w:r w:rsidR="00C06F58" w:rsidRPr="00A94AD3">
      <w:rPr>
        <w:rStyle w:val="SayfaNumaras"/>
        <w:sz w:val="18"/>
        <w:szCs w:val="18"/>
      </w:rPr>
      <w:instrText xml:space="preserve"> PAGE </w:instrText>
    </w:r>
    <w:r w:rsidR="00C06F58" w:rsidRPr="00A94AD3">
      <w:rPr>
        <w:rStyle w:val="SayfaNumaras"/>
        <w:sz w:val="18"/>
        <w:szCs w:val="18"/>
      </w:rPr>
      <w:fldChar w:fldCharType="separate"/>
    </w:r>
    <w:r w:rsidR="0032747D">
      <w:rPr>
        <w:rStyle w:val="SayfaNumaras"/>
        <w:noProof/>
        <w:sz w:val="18"/>
        <w:szCs w:val="18"/>
      </w:rPr>
      <w:t>2</w:t>
    </w:r>
    <w:r w:rsidR="00C06F58" w:rsidRPr="00A94AD3">
      <w:rPr>
        <w:rStyle w:val="SayfaNumaras"/>
        <w:sz w:val="18"/>
        <w:szCs w:val="18"/>
      </w:rPr>
      <w:fldChar w:fldCharType="end"/>
    </w:r>
    <w:r w:rsidR="00C06F58" w:rsidRPr="00A94AD3">
      <w:rPr>
        <w:rStyle w:val="SayfaNumaras"/>
        <w:sz w:val="18"/>
        <w:szCs w:val="18"/>
      </w:rPr>
      <w:t xml:space="preserve"> of </w:t>
    </w:r>
    <w:r w:rsidR="00C06F58" w:rsidRPr="00A94AD3">
      <w:rPr>
        <w:rStyle w:val="SayfaNumaras"/>
        <w:sz w:val="18"/>
        <w:szCs w:val="18"/>
      </w:rPr>
      <w:fldChar w:fldCharType="begin"/>
    </w:r>
    <w:r w:rsidR="00C06F58" w:rsidRPr="00A94AD3">
      <w:rPr>
        <w:rStyle w:val="SayfaNumaras"/>
        <w:sz w:val="18"/>
        <w:szCs w:val="18"/>
      </w:rPr>
      <w:instrText xml:space="preserve"> NUMPAGES </w:instrText>
    </w:r>
    <w:r w:rsidR="00C06F58" w:rsidRPr="00A94AD3">
      <w:rPr>
        <w:rStyle w:val="SayfaNumaras"/>
        <w:sz w:val="18"/>
        <w:szCs w:val="18"/>
      </w:rPr>
      <w:fldChar w:fldCharType="separate"/>
    </w:r>
    <w:r w:rsidR="0032747D">
      <w:rPr>
        <w:rStyle w:val="SayfaNumaras"/>
        <w:noProof/>
        <w:sz w:val="18"/>
        <w:szCs w:val="18"/>
      </w:rPr>
      <w:t>10</w:t>
    </w:r>
    <w:r w:rsidR="00C06F58" w:rsidRPr="00A94AD3">
      <w:rPr>
        <w:rStyle w:val="SayfaNumaras"/>
        <w:sz w:val="18"/>
        <w:szCs w:val="18"/>
      </w:rPr>
      <w:fldChar w:fldCharType="end"/>
    </w:r>
  </w:p>
  <w:p w14:paraId="667A46D0" w14:textId="77777777" w:rsidR="00C06F58" w:rsidRPr="00A94AD3" w:rsidRDefault="00C06F58" w:rsidP="003436FE">
    <w:pPr>
      <w:pStyle w:val="AltBilgi"/>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29760" w14:textId="4C572269" w:rsidR="00C06F58" w:rsidRPr="002B370E" w:rsidRDefault="00D17879" w:rsidP="009A733A">
    <w:pPr>
      <w:pStyle w:val="AltBilgi"/>
      <w:tabs>
        <w:tab w:val="clear" w:pos="4320"/>
        <w:tab w:val="clear" w:pos="8640"/>
        <w:tab w:val="right" w:pos="8080"/>
      </w:tabs>
      <w:spacing w:before="120"/>
      <w:rPr>
        <w:rStyle w:val="SayfaNumaras"/>
        <w:sz w:val="18"/>
        <w:szCs w:val="18"/>
      </w:rPr>
    </w:pPr>
    <w:r w:rsidRPr="00D17879">
      <w:rPr>
        <w:b/>
      </w:rPr>
      <w:t>August 2020</w:t>
    </w:r>
    <w:r w:rsidR="00C06F58" w:rsidRPr="002B370E">
      <w:rPr>
        <w:sz w:val="18"/>
        <w:szCs w:val="18"/>
      </w:rPr>
      <w:tab/>
      <w:t xml:space="preserve">Page </w:t>
    </w:r>
    <w:r w:rsidR="00C06F58" w:rsidRPr="002B370E">
      <w:rPr>
        <w:rStyle w:val="SayfaNumaras"/>
        <w:sz w:val="18"/>
        <w:szCs w:val="18"/>
      </w:rPr>
      <w:fldChar w:fldCharType="begin"/>
    </w:r>
    <w:r w:rsidR="00C06F58" w:rsidRPr="002B370E">
      <w:rPr>
        <w:rStyle w:val="SayfaNumaras"/>
        <w:sz w:val="18"/>
        <w:szCs w:val="18"/>
      </w:rPr>
      <w:instrText xml:space="preserve"> PAGE </w:instrText>
    </w:r>
    <w:r w:rsidR="00C06F58" w:rsidRPr="002B370E">
      <w:rPr>
        <w:rStyle w:val="SayfaNumaras"/>
        <w:sz w:val="18"/>
        <w:szCs w:val="18"/>
      </w:rPr>
      <w:fldChar w:fldCharType="separate"/>
    </w:r>
    <w:r w:rsidR="0032747D">
      <w:rPr>
        <w:rStyle w:val="SayfaNumaras"/>
        <w:noProof/>
        <w:sz w:val="18"/>
        <w:szCs w:val="18"/>
      </w:rPr>
      <w:t>1</w:t>
    </w:r>
    <w:r w:rsidR="00C06F58" w:rsidRPr="002B370E">
      <w:rPr>
        <w:rStyle w:val="SayfaNumaras"/>
        <w:sz w:val="18"/>
        <w:szCs w:val="18"/>
      </w:rPr>
      <w:fldChar w:fldCharType="end"/>
    </w:r>
    <w:r w:rsidR="00C06F58" w:rsidRPr="002B370E">
      <w:rPr>
        <w:rStyle w:val="SayfaNumaras"/>
        <w:sz w:val="18"/>
        <w:szCs w:val="18"/>
      </w:rPr>
      <w:t xml:space="preserve"> of </w:t>
    </w:r>
    <w:r w:rsidR="00C06F58" w:rsidRPr="002B370E">
      <w:rPr>
        <w:rStyle w:val="SayfaNumaras"/>
        <w:sz w:val="18"/>
        <w:szCs w:val="18"/>
      </w:rPr>
      <w:fldChar w:fldCharType="begin"/>
    </w:r>
    <w:r w:rsidR="00C06F58" w:rsidRPr="002B370E">
      <w:rPr>
        <w:rStyle w:val="SayfaNumaras"/>
        <w:sz w:val="18"/>
        <w:szCs w:val="18"/>
      </w:rPr>
      <w:instrText xml:space="preserve"> NUMPAGES </w:instrText>
    </w:r>
    <w:r w:rsidR="00C06F58" w:rsidRPr="002B370E">
      <w:rPr>
        <w:rStyle w:val="SayfaNumaras"/>
        <w:sz w:val="18"/>
        <w:szCs w:val="18"/>
      </w:rPr>
      <w:fldChar w:fldCharType="separate"/>
    </w:r>
    <w:r w:rsidR="0032747D">
      <w:rPr>
        <w:rStyle w:val="SayfaNumaras"/>
        <w:noProof/>
        <w:sz w:val="18"/>
        <w:szCs w:val="18"/>
      </w:rPr>
      <w:t>10</w:t>
    </w:r>
    <w:r w:rsidR="00C06F58" w:rsidRPr="002B370E">
      <w:rPr>
        <w:rStyle w:val="SayfaNumaras"/>
        <w:sz w:val="18"/>
        <w:szCs w:val="18"/>
      </w:rPr>
      <w:fldChar w:fldCharType="end"/>
    </w:r>
    <w:bookmarkStart w:id="4" w:name="_Hlt26943623"/>
    <w:bookmarkEnd w:id="4"/>
  </w:p>
  <w:p w14:paraId="4B963682" w14:textId="77777777" w:rsidR="00C06F58" w:rsidRPr="002B370E" w:rsidRDefault="00C06F58" w:rsidP="003436FE">
    <w:pPr>
      <w:pStyle w:val="AltBilgi"/>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A1AAC6" w14:textId="77777777" w:rsidR="00C00E08" w:rsidRDefault="00C00E08">
      <w:r>
        <w:separator/>
      </w:r>
    </w:p>
  </w:footnote>
  <w:footnote w:type="continuationSeparator" w:id="0">
    <w:p w14:paraId="6ACDAB3D" w14:textId="77777777" w:rsidR="00C00E08" w:rsidRDefault="00C00E08">
      <w:r>
        <w:continuationSeparator/>
      </w:r>
    </w:p>
  </w:footnote>
  <w:footnote w:id="1">
    <w:p w14:paraId="5A89414B" w14:textId="77777777" w:rsidR="000D135C" w:rsidRPr="000D135C" w:rsidRDefault="000D135C">
      <w:pPr>
        <w:pStyle w:val="DipnotMetni"/>
      </w:pPr>
      <w:r>
        <w:rPr>
          <w:rStyle w:val="DipnotBavurusu"/>
        </w:rPr>
        <w:footnoteRef/>
      </w:r>
      <w:r>
        <w:t xml:space="preserve"> See PRAG 2.6.10.1.3 A)</w:t>
      </w:r>
    </w:p>
  </w:footnote>
  <w:footnote w:id="2">
    <w:p w14:paraId="5E9AB129" w14:textId="77777777" w:rsidR="000570D7" w:rsidRPr="00C71FC9" w:rsidRDefault="000570D7" w:rsidP="000570D7">
      <w:pPr>
        <w:pStyle w:val="DipnotMetni"/>
      </w:pPr>
      <w:r>
        <w:rPr>
          <w:rStyle w:val="DipnotBavurusu"/>
        </w:rPr>
        <w:footnoteRef/>
      </w:r>
      <w:r>
        <w:t xml:space="preserve"> </w:t>
      </w:r>
      <w:r w:rsidRPr="00B50F3D">
        <w:t>It is recommended to use registered mail in case the postmark would not be readable.</w:t>
      </w:r>
    </w:p>
    <w:p w14:paraId="6F8B66B5" w14:textId="77777777" w:rsidR="000570D7" w:rsidRPr="000570D7" w:rsidRDefault="000570D7">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1C8FA" w14:textId="77777777" w:rsidR="00C06F58" w:rsidRPr="00AD4777" w:rsidRDefault="00C06F58">
    <w:pPr>
      <w:pStyle w:val="stBilgi"/>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704"/>
        </w:tabs>
        <w:ind w:left="704"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D550F2"/>
    <w:rsid w:val="00001D25"/>
    <w:rsid w:val="00010683"/>
    <w:rsid w:val="00031288"/>
    <w:rsid w:val="0004095E"/>
    <w:rsid w:val="00047F95"/>
    <w:rsid w:val="0005189D"/>
    <w:rsid w:val="000544E6"/>
    <w:rsid w:val="000570D7"/>
    <w:rsid w:val="00057A21"/>
    <w:rsid w:val="000607F7"/>
    <w:rsid w:val="000626CB"/>
    <w:rsid w:val="00076C4B"/>
    <w:rsid w:val="00076EEC"/>
    <w:rsid w:val="0009029D"/>
    <w:rsid w:val="000913E8"/>
    <w:rsid w:val="000955FE"/>
    <w:rsid w:val="000A7073"/>
    <w:rsid w:val="000C5425"/>
    <w:rsid w:val="000D135C"/>
    <w:rsid w:val="000D183D"/>
    <w:rsid w:val="000F0B96"/>
    <w:rsid w:val="001000F9"/>
    <w:rsid w:val="001168F4"/>
    <w:rsid w:val="0012008D"/>
    <w:rsid w:val="00121005"/>
    <w:rsid w:val="00137809"/>
    <w:rsid w:val="0014136C"/>
    <w:rsid w:val="001449AE"/>
    <w:rsid w:val="00157CF6"/>
    <w:rsid w:val="001671BA"/>
    <w:rsid w:val="0017009E"/>
    <w:rsid w:val="00180127"/>
    <w:rsid w:val="001853B3"/>
    <w:rsid w:val="00185BA4"/>
    <w:rsid w:val="001A3A06"/>
    <w:rsid w:val="001A7BA0"/>
    <w:rsid w:val="001B1598"/>
    <w:rsid w:val="001B2CA6"/>
    <w:rsid w:val="001C0F8D"/>
    <w:rsid w:val="001C391F"/>
    <w:rsid w:val="001C6E14"/>
    <w:rsid w:val="001D579A"/>
    <w:rsid w:val="001E04C0"/>
    <w:rsid w:val="001E0677"/>
    <w:rsid w:val="001E5AB3"/>
    <w:rsid w:val="002157AA"/>
    <w:rsid w:val="00216E18"/>
    <w:rsid w:val="0021784A"/>
    <w:rsid w:val="0022643A"/>
    <w:rsid w:val="0023505C"/>
    <w:rsid w:val="00245C38"/>
    <w:rsid w:val="00250B09"/>
    <w:rsid w:val="002618F3"/>
    <w:rsid w:val="00264E26"/>
    <w:rsid w:val="00273362"/>
    <w:rsid w:val="00277F61"/>
    <w:rsid w:val="00290ACC"/>
    <w:rsid w:val="002921F7"/>
    <w:rsid w:val="00294800"/>
    <w:rsid w:val="002A1587"/>
    <w:rsid w:val="002B0E84"/>
    <w:rsid w:val="002B75E8"/>
    <w:rsid w:val="002C2852"/>
    <w:rsid w:val="002F1241"/>
    <w:rsid w:val="002F6273"/>
    <w:rsid w:val="0030208E"/>
    <w:rsid w:val="003121C6"/>
    <w:rsid w:val="0032747D"/>
    <w:rsid w:val="003436FE"/>
    <w:rsid w:val="003447DA"/>
    <w:rsid w:val="0037753A"/>
    <w:rsid w:val="00381AB8"/>
    <w:rsid w:val="003924DF"/>
    <w:rsid w:val="003925C5"/>
    <w:rsid w:val="00396D4A"/>
    <w:rsid w:val="00397B28"/>
    <w:rsid w:val="00397E74"/>
    <w:rsid w:val="003A4182"/>
    <w:rsid w:val="003B5597"/>
    <w:rsid w:val="003C5C2B"/>
    <w:rsid w:val="003C773B"/>
    <w:rsid w:val="003D770A"/>
    <w:rsid w:val="003E309F"/>
    <w:rsid w:val="003E6551"/>
    <w:rsid w:val="003F2D75"/>
    <w:rsid w:val="003F4AB5"/>
    <w:rsid w:val="003F7035"/>
    <w:rsid w:val="00412107"/>
    <w:rsid w:val="00417586"/>
    <w:rsid w:val="00420FF3"/>
    <w:rsid w:val="004530E4"/>
    <w:rsid w:val="00453651"/>
    <w:rsid w:val="004551A2"/>
    <w:rsid w:val="00463A51"/>
    <w:rsid w:val="00464045"/>
    <w:rsid w:val="00464264"/>
    <w:rsid w:val="00480BF1"/>
    <w:rsid w:val="0048664A"/>
    <w:rsid w:val="00491B4A"/>
    <w:rsid w:val="00493F98"/>
    <w:rsid w:val="00495144"/>
    <w:rsid w:val="00496641"/>
    <w:rsid w:val="00497FEF"/>
    <w:rsid w:val="004A544F"/>
    <w:rsid w:val="004D0FE4"/>
    <w:rsid w:val="004D2399"/>
    <w:rsid w:val="004D7FC9"/>
    <w:rsid w:val="004E248D"/>
    <w:rsid w:val="004F088B"/>
    <w:rsid w:val="0050626C"/>
    <w:rsid w:val="005147FC"/>
    <w:rsid w:val="00517439"/>
    <w:rsid w:val="00526546"/>
    <w:rsid w:val="0053692D"/>
    <w:rsid w:val="00536F30"/>
    <w:rsid w:val="005420CE"/>
    <w:rsid w:val="00543D27"/>
    <w:rsid w:val="00545A56"/>
    <w:rsid w:val="00545C2C"/>
    <w:rsid w:val="005510F3"/>
    <w:rsid w:val="005564EB"/>
    <w:rsid w:val="0056210A"/>
    <w:rsid w:val="0056414B"/>
    <w:rsid w:val="00574DD1"/>
    <w:rsid w:val="00577681"/>
    <w:rsid w:val="00582292"/>
    <w:rsid w:val="0059570B"/>
    <w:rsid w:val="005B2947"/>
    <w:rsid w:val="005C1E9E"/>
    <w:rsid w:val="005C44AA"/>
    <w:rsid w:val="005D1583"/>
    <w:rsid w:val="005D2BA9"/>
    <w:rsid w:val="005D3D9E"/>
    <w:rsid w:val="005D6CCF"/>
    <w:rsid w:val="005E5F2A"/>
    <w:rsid w:val="005F030C"/>
    <w:rsid w:val="005F1DD5"/>
    <w:rsid w:val="0062173A"/>
    <w:rsid w:val="0062677E"/>
    <w:rsid w:val="00632671"/>
    <w:rsid w:val="006365A9"/>
    <w:rsid w:val="00676181"/>
    <w:rsid w:val="006773D0"/>
    <w:rsid w:val="0068123D"/>
    <w:rsid w:val="00681768"/>
    <w:rsid w:val="00681895"/>
    <w:rsid w:val="00682D24"/>
    <w:rsid w:val="00687AA2"/>
    <w:rsid w:val="00694874"/>
    <w:rsid w:val="0069603B"/>
    <w:rsid w:val="006A1537"/>
    <w:rsid w:val="006B0775"/>
    <w:rsid w:val="006C4BA3"/>
    <w:rsid w:val="006F25A2"/>
    <w:rsid w:val="006F5D6C"/>
    <w:rsid w:val="006F6361"/>
    <w:rsid w:val="007078C5"/>
    <w:rsid w:val="00740B27"/>
    <w:rsid w:val="007639DA"/>
    <w:rsid w:val="00763C86"/>
    <w:rsid w:val="00775D25"/>
    <w:rsid w:val="00787AE6"/>
    <w:rsid w:val="0079450E"/>
    <w:rsid w:val="00796D5E"/>
    <w:rsid w:val="007A0123"/>
    <w:rsid w:val="007B1D4B"/>
    <w:rsid w:val="007B7D7B"/>
    <w:rsid w:val="007C6263"/>
    <w:rsid w:val="007E285C"/>
    <w:rsid w:val="007F760C"/>
    <w:rsid w:val="00804556"/>
    <w:rsid w:val="00805702"/>
    <w:rsid w:val="008100D6"/>
    <w:rsid w:val="00835BD1"/>
    <w:rsid w:val="00843423"/>
    <w:rsid w:val="008531BA"/>
    <w:rsid w:val="00854CFF"/>
    <w:rsid w:val="00855F72"/>
    <w:rsid w:val="0086089C"/>
    <w:rsid w:val="0086581B"/>
    <w:rsid w:val="00870B5F"/>
    <w:rsid w:val="0089466D"/>
    <w:rsid w:val="00895B9A"/>
    <w:rsid w:val="008A2426"/>
    <w:rsid w:val="008A7842"/>
    <w:rsid w:val="008E5D9D"/>
    <w:rsid w:val="009021F5"/>
    <w:rsid w:val="009063CE"/>
    <w:rsid w:val="009076E2"/>
    <w:rsid w:val="00917284"/>
    <w:rsid w:val="00921CBA"/>
    <w:rsid w:val="00937074"/>
    <w:rsid w:val="009426BD"/>
    <w:rsid w:val="009436A4"/>
    <w:rsid w:val="00957CA3"/>
    <w:rsid w:val="00983BDC"/>
    <w:rsid w:val="009861A5"/>
    <w:rsid w:val="00987220"/>
    <w:rsid w:val="00987C6C"/>
    <w:rsid w:val="00996707"/>
    <w:rsid w:val="009A733A"/>
    <w:rsid w:val="009B1C05"/>
    <w:rsid w:val="009B3FFF"/>
    <w:rsid w:val="009B605A"/>
    <w:rsid w:val="009C7BD6"/>
    <w:rsid w:val="009D164C"/>
    <w:rsid w:val="009D5E0F"/>
    <w:rsid w:val="009F5616"/>
    <w:rsid w:val="00A00C4C"/>
    <w:rsid w:val="00A02F0C"/>
    <w:rsid w:val="00A04B33"/>
    <w:rsid w:val="00A06BCE"/>
    <w:rsid w:val="00A165D1"/>
    <w:rsid w:val="00A33091"/>
    <w:rsid w:val="00A376D6"/>
    <w:rsid w:val="00A40B36"/>
    <w:rsid w:val="00A42171"/>
    <w:rsid w:val="00A57F87"/>
    <w:rsid w:val="00A61B8A"/>
    <w:rsid w:val="00A6538D"/>
    <w:rsid w:val="00A72FB1"/>
    <w:rsid w:val="00A81096"/>
    <w:rsid w:val="00A82C40"/>
    <w:rsid w:val="00A90345"/>
    <w:rsid w:val="00A94AD3"/>
    <w:rsid w:val="00A94F07"/>
    <w:rsid w:val="00AA3043"/>
    <w:rsid w:val="00AB28DE"/>
    <w:rsid w:val="00AB326E"/>
    <w:rsid w:val="00AB5C71"/>
    <w:rsid w:val="00AB7549"/>
    <w:rsid w:val="00AC3002"/>
    <w:rsid w:val="00AC5E60"/>
    <w:rsid w:val="00AD6A02"/>
    <w:rsid w:val="00AF6806"/>
    <w:rsid w:val="00B21495"/>
    <w:rsid w:val="00B215EE"/>
    <w:rsid w:val="00B2430B"/>
    <w:rsid w:val="00B31D01"/>
    <w:rsid w:val="00B36721"/>
    <w:rsid w:val="00B45C9F"/>
    <w:rsid w:val="00B5592A"/>
    <w:rsid w:val="00B74CE3"/>
    <w:rsid w:val="00B80006"/>
    <w:rsid w:val="00B806A1"/>
    <w:rsid w:val="00B860B0"/>
    <w:rsid w:val="00B86121"/>
    <w:rsid w:val="00B9416D"/>
    <w:rsid w:val="00BA3522"/>
    <w:rsid w:val="00BB6C9D"/>
    <w:rsid w:val="00BC1214"/>
    <w:rsid w:val="00BC1D32"/>
    <w:rsid w:val="00BC3DB7"/>
    <w:rsid w:val="00BC7014"/>
    <w:rsid w:val="00BC7CA7"/>
    <w:rsid w:val="00BD5B00"/>
    <w:rsid w:val="00BE7CAF"/>
    <w:rsid w:val="00BF01CC"/>
    <w:rsid w:val="00BF0BD3"/>
    <w:rsid w:val="00C00E08"/>
    <w:rsid w:val="00C03C38"/>
    <w:rsid w:val="00C06F58"/>
    <w:rsid w:val="00C220E2"/>
    <w:rsid w:val="00C2286C"/>
    <w:rsid w:val="00C22F64"/>
    <w:rsid w:val="00C2541E"/>
    <w:rsid w:val="00C3216F"/>
    <w:rsid w:val="00C330E1"/>
    <w:rsid w:val="00C33368"/>
    <w:rsid w:val="00C372F3"/>
    <w:rsid w:val="00C40CD0"/>
    <w:rsid w:val="00C52EDE"/>
    <w:rsid w:val="00C53A7B"/>
    <w:rsid w:val="00C53C29"/>
    <w:rsid w:val="00C55903"/>
    <w:rsid w:val="00C91765"/>
    <w:rsid w:val="00C96392"/>
    <w:rsid w:val="00CB6C37"/>
    <w:rsid w:val="00CC396F"/>
    <w:rsid w:val="00CE5895"/>
    <w:rsid w:val="00CF2B5B"/>
    <w:rsid w:val="00CF5016"/>
    <w:rsid w:val="00D01976"/>
    <w:rsid w:val="00D17879"/>
    <w:rsid w:val="00D22464"/>
    <w:rsid w:val="00D26233"/>
    <w:rsid w:val="00D32C37"/>
    <w:rsid w:val="00D4050F"/>
    <w:rsid w:val="00D44374"/>
    <w:rsid w:val="00D475F9"/>
    <w:rsid w:val="00D515B1"/>
    <w:rsid w:val="00D550F2"/>
    <w:rsid w:val="00D60D73"/>
    <w:rsid w:val="00D63250"/>
    <w:rsid w:val="00D66CD2"/>
    <w:rsid w:val="00D86F6D"/>
    <w:rsid w:val="00DA7EF8"/>
    <w:rsid w:val="00DB3975"/>
    <w:rsid w:val="00DB4711"/>
    <w:rsid w:val="00DD3A01"/>
    <w:rsid w:val="00DD3B79"/>
    <w:rsid w:val="00DE1210"/>
    <w:rsid w:val="00DE5160"/>
    <w:rsid w:val="00DF1F88"/>
    <w:rsid w:val="00E03510"/>
    <w:rsid w:val="00E134A8"/>
    <w:rsid w:val="00E13546"/>
    <w:rsid w:val="00E1767B"/>
    <w:rsid w:val="00E222AD"/>
    <w:rsid w:val="00E2244D"/>
    <w:rsid w:val="00E22E88"/>
    <w:rsid w:val="00E3047E"/>
    <w:rsid w:val="00E32F5C"/>
    <w:rsid w:val="00E33957"/>
    <w:rsid w:val="00E33EB4"/>
    <w:rsid w:val="00E43AF1"/>
    <w:rsid w:val="00E46553"/>
    <w:rsid w:val="00E507EF"/>
    <w:rsid w:val="00E60BD0"/>
    <w:rsid w:val="00E8191A"/>
    <w:rsid w:val="00E84A51"/>
    <w:rsid w:val="00EA3293"/>
    <w:rsid w:val="00EA439A"/>
    <w:rsid w:val="00EA6B94"/>
    <w:rsid w:val="00EA7FAC"/>
    <w:rsid w:val="00EB1484"/>
    <w:rsid w:val="00EC2853"/>
    <w:rsid w:val="00EC59C8"/>
    <w:rsid w:val="00ED0499"/>
    <w:rsid w:val="00ED74BE"/>
    <w:rsid w:val="00EE5A83"/>
    <w:rsid w:val="00EF67ED"/>
    <w:rsid w:val="00F00530"/>
    <w:rsid w:val="00F11E9B"/>
    <w:rsid w:val="00F16667"/>
    <w:rsid w:val="00F21243"/>
    <w:rsid w:val="00F25A3C"/>
    <w:rsid w:val="00F53979"/>
    <w:rsid w:val="00F54298"/>
    <w:rsid w:val="00F74E5B"/>
    <w:rsid w:val="00F7552A"/>
    <w:rsid w:val="00F80338"/>
    <w:rsid w:val="00F848DA"/>
    <w:rsid w:val="00F93944"/>
    <w:rsid w:val="00FD15B8"/>
    <w:rsid w:val="00FD4EE0"/>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5B1F03"/>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Balk1">
    <w:name w:val="heading 1"/>
    <w:basedOn w:val="Normal"/>
    <w:next w:val="Normal"/>
    <w:qFormat/>
    <w:pPr>
      <w:keepNext/>
      <w:spacing w:before="240"/>
      <w:jc w:val="center"/>
      <w:outlineLvl w:val="0"/>
    </w:pPr>
    <w:rPr>
      <w:b/>
      <w:sz w:val="24"/>
      <w:lang w:val="fr-BE"/>
    </w:rPr>
  </w:style>
  <w:style w:type="paragraph" w:styleId="Balk2">
    <w:name w:val="heading 2"/>
    <w:basedOn w:val="Normal"/>
    <w:next w:val="Normal"/>
    <w:qFormat/>
    <w:pPr>
      <w:keepNext/>
      <w:tabs>
        <w:tab w:val="left" w:pos="426"/>
      </w:tabs>
      <w:outlineLvl w:val="1"/>
    </w:pPr>
    <w:rPr>
      <w:sz w:val="24"/>
      <w:lang w:val="fr-BE"/>
    </w:rPr>
  </w:style>
  <w:style w:type="paragraph" w:styleId="Balk3">
    <w:name w:val="heading 3"/>
    <w:basedOn w:val="Normal"/>
    <w:next w:val="Normal"/>
    <w:qFormat/>
    <w:pPr>
      <w:keepNext/>
      <w:outlineLvl w:val="2"/>
    </w:pPr>
    <w:rPr>
      <w:sz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left" w:pos="567"/>
      </w:tabs>
      <w:spacing w:after="120"/>
      <w:ind w:left="567" w:hanging="567"/>
      <w:jc w:val="both"/>
    </w:pPr>
    <w:rPr>
      <w:sz w:val="24"/>
    </w:rPr>
  </w:style>
  <w:style w:type="paragraph" w:styleId="GvdeMetni">
    <w:name w:val="Body Text"/>
    <w:basedOn w:val="Normal"/>
    <w:link w:val="GvdeMetniChar"/>
    <w:rPr>
      <w:sz w:val="24"/>
    </w:rPr>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spacing w:after="120"/>
      <w:ind w:left="1276" w:hanging="425"/>
      <w:jc w:val="both"/>
    </w:pPr>
    <w:rPr>
      <w:sz w:val="24"/>
    </w:rPr>
  </w:style>
  <w:style w:type="paragraph" w:styleId="GvdeMetni2">
    <w:name w:val="Body Text 2"/>
    <w:basedOn w:val="Normal"/>
    <w:link w:val="GvdeMetni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Vurgu">
    <w:name w:val="Emphasis"/>
    <w:qFormat/>
    <w:rPr>
      <w:i/>
    </w:rPr>
  </w:style>
  <w:style w:type="character" w:styleId="Gl">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zlenenKpr">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543D27"/>
    <w:pPr>
      <w:spacing w:after="60"/>
    </w:p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onMetni">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GvdeMetni2Char">
    <w:name w:val="Gövde Metni 2 Char"/>
    <w:link w:val="GvdeMetni2"/>
    <w:rsid w:val="0056210A"/>
    <w:rPr>
      <w:sz w:val="24"/>
    </w:rPr>
  </w:style>
  <w:style w:type="character" w:styleId="AklamaBavurusu">
    <w:name w:val="annotation reference"/>
    <w:rsid w:val="0017009E"/>
    <w:rPr>
      <w:sz w:val="16"/>
      <w:szCs w:val="16"/>
    </w:rPr>
  </w:style>
  <w:style w:type="paragraph" w:styleId="AklamaMetni">
    <w:name w:val="annotation text"/>
    <w:basedOn w:val="Normal"/>
    <w:link w:val="AklamaMetniChar"/>
    <w:rsid w:val="0017009E"/>
  </w:style>
  <w:style w:type="character" w:customStyle="1" w:styleId="AklamaMetniChar">
    <w:name w:val="Açıklama Metni Char"/>
    <w:basedOn w:val="VarsaylanParagrafYazTipi"/>
    <w:link w:val="AklamaMetni"/>
    <w:rsid w:val="0017009E"/>
  </w:style>
  <w:style w:type="paragraph" w:styleId="AklamaKonusu">
    <w:name w:val="annotation subject"/>
    <w:basedOn w:val="AklamaMetni"/>
    <w:next w:val="AklamaMetni"/>
    <w:link w:val="AklamaKonusuChar"/>
    <w:rsid w:val="0017009E"/>
    <w:rPr>
      <w:b/>
      <w:bCs/>
    </w:rPr>
  </w:style>
  <w:style w:type="character" w:customStyle="1" w:styleId="AklamaKonusuChar">
    <w:name w:val="Açıklama Konusu Char"/>
    <w:link w:val="AklamaKonusu"/>
    <w:rsid w:val="0017009E"/>
    <w:rPr>
      <w:b/>
      <w:bCs/>
    </w:rPr>
  </w:style>
  <w:style w:type="paragraph" w:styleId="Dzeltme">
    <w:name w:val="Revision"/>
    <w:hidden/>
    <w:uiPriority w:val="99"/>
    <w:semiHidden/>
    <w:rsid w:val="00687AA2"/>
    <w:rPr>
      <w:lang w:val="en-GB" w:eastAsia="en-GB"/>
    </w:rPr>
  </w:style>
  <w:style w:type="character" w:customStyle="1" w:styleId="GvdeMetniChar">
    <w:name w:val="Gövde Metni Char"/>
    <w:link w:val="GvdeMetni"/>
    <w:rsid w:val="00AD6A02"/>
    <w:rPr>
      <w:sz w:val="24"/>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rsid w:val="00EB14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67011-3C52-4217-9492-0BB1834CB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10</Pages>
  <Words>4037</Words>
  <Characters>23012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26996</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Değer  Muhasebe Mali Müşavirlik</cp:lastModifiedBy>
  <cp:revision>94</cp:revision>
  <cp:lastPrinted>2012-09-25T14:41:00Z</cp:lastPrinted>
  <dcterms:created xsi:type="dcterms:W3CDTF">2018-12-18T11:34:00Z</dcterms:created>
  <dcterms:modified xsi:type="dcterms:W3CDTF">2021-01-30T13:58:00Z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