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C5D78" w14:textId="77777777" w:rsidR="00DA4734" w:rsidRPr="001017B1" w:rsidRDefault="00DA4734" w:rsidP="00430315">
      <w:pPr>
        <w:rPr>
          <w:sz w:val="22"/>
          <w:szCs w:val="22"/>
          <w:lang w:val="en-US"/>
        </w:rPr>
      </w:pPr>
    </w:p>
    <w:p w14:paraId="1AEAC147" w14:textId="77777777" w:rsidR="00376664" w:rsidRPr="001017B1" w:rsidRDefault="00376664" w:rsidP="00430315">
      <w:pPr>
        <w:rPr>
          <w:sz w:val="22"/>
          <w:szCs w:val="22"/>
          <w:lang w:val="en-US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701"/>
      </w:tblGrid>
      <w:tr w:rsidR="009522AF" w:rsidRPr="001017B1" w14:paraId="6FA3BA0D" w14:textId="77777777" w:rsidTr="00636192">
        <w:trPr>
          <w:cantSplit/>
          <w:trHeight w:val="464"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3B057DDC" w14:textId="77777777" w:rsidR="009522AF" w:rsidRPr="001017B1" w:rsidRDefault="009522AF" w:rsidP="00F32AD9">
            <w:pPr>
              <w:rPr>
                <w:rFonts w:ascii="Arial" w:hAnsi="Arial"/>
                <w:b/>
                <w:sz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BA3C2F" w14:textId="77777777" w:rsidR="009522AF" w:rsidRPr="001017B1" w:rsidRDefault="00172FB0" w:rsidP="00172FB0">
            <w:pPr>
              <w:jc w:val="center"/>
              <w:rPr>
                <w:b/>
                <w:sz w:val="20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Maximum</w:t>
            </w:r>
          </w:p>
        </w:tc>
      </w:tr>
      <w:tr w:rsidR="009522AF" w:rsidRPr="001017B1" w14:paraId="41D2B8FC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772582E6" w14:textId="77777777" w:rsidR="009522AF" w:rsidRPr="001017B1" w:rsidRDefault="009522AF" w:rsidP="00F32AD9">
            <w:pPr>
              <w:spacing w:before="80" w:after="80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1017B1">
              <w:rPr>
                <w:b/>
                <w:sz w:val="22"/>
                <w:szCs w:val="22"/>
                <w:lang w:val="en-US"/>
              </w:rPr>
              <w:t>Organisation</w:t>
            </w:r>
            <w:proofErr w:type="spellEnd"/>
            <w:r w:rsidRPr="001017B1">
              <w:rPr>
                <w:b/>
                <w:sz w:val="22"/>
                <w:szCs w:val="22"/>
                <w:lang w:val="en-US"/>
              </w:rPr>
              <w:t xml:space="preserve"> and methodology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1BAD42" w14:textId="77777777" w:rsidR="009522AF" w:rsidRPr="001017B1" w:rsidRDefault="009522AF" w:rsidP="00F32AD9">
            <w:pPr>
              <w:spacing w:before="80" w:after="8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9522AF" w:rsidRPr="001017B1" w14:paraId="0D95BC0A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4C0F66B3" w14:textId="77777777" w:rsidR="009522AF" w:rsidRPr="001017B1" w:rsidRDefault="009522AF" w:rsidP="00F32AD9">
            <w:pPr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Rationale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3C1FD" w14:textId="77777777" w:rsidR="009522AF" w:rsidRPr="001017B1" w:rsidRDefault="009522AF" w:rsidP="00F32AD9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b/>
                <w:sz w:val="22"/>
                <w:szCs w:val="22"/>
                <w:highlight w:val="lightGray"/>
                <w:lang w:val="en-US"/>
              </w:rPr>
              <w:t>30</w:t>
            </w:r>
          </w:p>
        </w:tc>
      </w:tr>
      <w:tr w:rsidR="009522AF" w:rsidRPr="001017B1" w14:paraId="1FDF1BFF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445B76CB" w14:textId="77777777" w:rsidR="009522AF" w:rsidRPr="001017B1" w:rsidRDefault="009522AF" w:rsidP="00C86723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>Analysis of the contract</w:t>
            </w:r>
            <w:r w:rsidR="00D41856" w:rsidRPr="001017B1">
              <w:rPr>
                <w:lang w:val="en-US"/>
              </w:rPr>
              <w:t xml:space="preserve"> </w:t>
            </w:r>
            <w:r w:rsidR="00D41856" w:rsidRPr="001017B1">
              <w:rPr>
                <w:sz w:val="22"/>
                <w:szCs w:val="22"/>
                <w:lang w:val="en-US"/>
              </w:rPr>
              <w:t>overall</w:t>
            </w:r>
            <w:r w:rsidRPr="001017B1">
              <w:rPr>
                <w:sz w:val="22"/>
                <w:szCs w:val="22"/>
                <w:lang w:val="en-US"/>
              </w:rPr>
              <w:t xml:space="preserve"> objective and</w:t>
            </w:r>
            <w:r w:rsidR="00747B0B" w:rsidRPr="001017B1">
              <w:rPr>
                <w:sz w:val="22"/>
                <w:szCs w:val="22"/>
                <w:lang w:val="en-US"/>
              </w:rPr>
              <w:t xml:space="preserve"> all of the</w:t>
            </w:r>
            <w:r w:rsidRPr="001017B1">
              <w:rPr>
                <w:sz w:val="22"/>
                <w:szCs w:val="22"/>
                <w:lang w:val="en-US"/>
              </w:rPr>
              <w:t xml:space="preserve"> purposes set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="00C86723" w:rsidRPr="001017B1">
              <w:rPr>
                <w:sz w:val="22"/>
                <w:szCs w:val="22"/>
                <w:lang w:val="en-US"/>
              </w:rPr>
              <w:t xml:space="preserve">. The </w:t>
            </w:r>
            <w:proofErr w:type="spellStart"/>
            <w:r w:rsidR="00C86723" w:rsidRPr="001017B1">
              <w:rPr>
                <w:sz w:val="22"/>
                <w:szCs w:val="22"/>
                <w:lang w:val="en-US"/>
              </w:rPr>
              <w:t>analysys</w:t>
            </w:r>
            <w:proofErr w:type="spellEnd"/>
            <w:r w:rsidR="00C86723" w:rsidRPr="001017B1">
              <w:rPr>
                <w:sz w:val="22"/>
                <w:szCs w:val="22"/>
                <w:lang w:val="en-US"/>
              </w:rPr>
              <w:t xml:space="preserve"> </w:t>
            </w:r>
            <w:r w:rsidR="00747B0B" w:rsidRPr="001017B1">
              <w:rPr>
                <w:sz w:val="22"/>
                <w:szCs w:val="22"/>
                <w:lang w:val="en-US"/>
              </w:rPr>
              <w:t xml:space="preserve">takes full account of and addresses the specific subject of </w:t>
            </w:r>
            <w:r w:rsidR="00C86723" w:rsidRPr="001017B1">
              <w:rPr>
                <w:sz w:val="22"/>
                <w:szCs w:val="22"/>
                <w:lang w:val="en-US"/>
              </w:rPr>
              <w:t>the</w:t>
            </w:r>
            <w:r w:rsidR="00747B0B" w:rsidRPr="001017B1">
              <w:rPr>
                <w:sz w:val="22"/>
                <w:szCs w:val="22"/>
                <w:lang w:val="en-US"/>
              </w:rPr>
              <w:t xml:space="preserve"> tender</w:t>
            </w:r>
            <w:r w:rsidR="00C86723" w:rsidRPr="001017B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E91534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741A2F4F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4D41D0A4" w14:textId="77777777" w:rsidR="009522AF" w:rsidRPr="001017B1" w:rsidRDefault="009522AF" w:rsidP="00D41856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Analysis of the link between the </w:t>
            </w:r>
            <w:r w:rsidR="00D41856" w:rsidRPr="001017B1">
              <w:rPr>
                <w:sz w:val="22"/>
                <w:szCs w:val="22"/>
                <w:lang w:val="en-US"/>
              </w:rPr>
              <w:t xml:space="preserve">overall </w:t>
            </w:r>
            <w:r w:rsidRPr="001017B1">
              <w:rPr>
                <w:sz w:val="22"/>
                <w:szCs w:val="22"/>
                <w:lang w:val="en-US"/>
              </w:rPr>
              <w:t>objective and</w:t>
            </w:r>
            <w:r w:rsidR="00747B0B" w:rsidRPr="001017B1">
              <w:rPr>
                <w:sz w:val="22"/>
                <w:szCs w:val="22"/>
                <w:lang w:val="en-US"/>
              </w:rPr>
              <w:t xml:space="preserve"> all</w:t>
            </w:r>
            <w:r w:rsidRPr="001017B1">
              <w:rPr>
                <w:sz w:val="22"/>
                <w:szCs w:val="22"/>
                <w:lang w:val="en-US"/>
              </w:rPr>
              <w:t xml:space="preserve"> </w:t>
            </w:r>
            <w:r w:rsidR="00D41856" w:rsidRPr="001017B1">
              <w:rPr>
                <w:sz w:val="22"/>
                <w:szCs w:val="22"/>
                <w:lang w:val="en-US"/>
              </w:rPr>
              <w:t xml:space="preserve">the </w:t>
            </w:r>
            <w:r w:rsidRPr="001017B1">
              <w:rPr>
                <w:sz w:val="22"/>
                <w:szCs w:val="22"/>
                <w:lang w:val="en-US"/>
              </w:rPr>
              <w:t xml:space="preserve">expected results set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="00C86723" w:rsidRPr="001017B1">
              <w:rPr>
                <w:lang w:val="en-US"/>
              </w:rPr>
              <w:t xml:space="preserve"> </w:t>
            </w:r>
            <w:proofErr w:type="spellStart"/>
            <w:r w:rsidR="00C86723" w:rsidRPr="001017B1">
              <w:rPr>
                <w:lang w:val="en-US"/>
              </w:rPr>
              <w:t>Тhe</w:t>
            </w:r>
            <w:proofErr w:type="spellEnd"/>
            <w:r w:rsidR="00C86723" w:rsidRPr="001017B1">
              <w:rPr>
                <w:lang w:val="en-US"/>
              </w:rPr>
              <w:t xml:space="preserve"> </w:t>
            </w:r>
            <w:proofErr w:type="spellStart"/>
            <w:r w:rsidR="00C86723" w:rsidRPr="001017B1">
              <w:rPr>
                <w:lang w:val="en-US"/>
              </w:rPr>
              <w:t>analysys</w:t>
            </w:r>
            <w:proofErr w:type="spellEnd"/>
            <w:r w:rsidR="00C86723" w:rsidRPr="001017B1">
              <w:rPr>
                <w:lang w:val="en-US"/>
              </w:rPr>
              <w:t xml:space="preserve"> </w:t>
            </w:r>
            <w:r w:rsidR="00C86723" w:rsidRPr="001017B1">
              <w:rPr>
                <w:sz w:val="22"/>
                <w:szCs w:val="22"/>
                <w:lang w:val="en-US"/>
              </w:rPr>
              <w:t xml:space="preserve">provides explanation and information about the connection </w:t>
            </w:r>
            <w:r w:rsidR="00D41856" w:rsidRPr="001017B1">
              <w:rPr>
                <w:sz w:val="22"/>
                <w:szCs w:val="22"/>
                <w:lang w:val="en-US"/>
              </w:rPr>
              <w:t>between the overall objective and the results.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EDF699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1192FB3D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2B95E0E9" w14:textId="77777777" w:rsidR="009522AF" w:rsidRPr="001017B1" w:rsidRDefault="00D41856" w:rsidP="00C86723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>Definition and a</w:t>
            </w:r>
            <w:r w:rsidR="009522AF" w:rsidRPr="001017B1">
              <w:rPr>
                <w:sz w:val="22"/>
                <w:szCs w:val="22"/>
                <w:lang w:val="en-US"/>
              </w:rPr>
              <w:t>nalysis of the key prerequisites for successful implementation of the contract</w:t>
            </w:r>
            <w:r w:rsidR="00C86723" w:rsidRPr="001017B1">
              <w:rPr>
                <w:sz w:val="22"/>
                <w:szCs w:val="22"/>
                <w:lang w:val="en-US"/>
              </w:rPr>
              <w:t xml:space="preserve">. The </w:t>
            </w:r>
            <w:proofErr w:type="spellStart"/>
            <w:r w:rsidR="00C86723" w:rsidRPr="001017B1">
              <w:rPr>
                <w:sz w:val="22"/>
                <w:szCs w:val="22"/>
                <w:lang w:val="en-US"/>
              </w:rPr>
              <w:t>analysys</w:t>
            </w:r>
            <w:proofErr w:type="spellEnd"/>
            <w:r w:rsidR="00747B0B" w:rsidRPr="001017B1">
              <w:rPr>
                <w:sz w:val="22"/>
                <w:szCs w:val="22"/>
                <w:lang w:val="en-US"/>
              </w:rPr>
              <w:t xml:space="preserve"> corresponds to the specific objective and purposes of the tender</w:t>
            </w:r>
            <w:r w:rsidR="00C86723" w:rsidRPr="001017B1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E2242F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10</w:t>
            </w:r>
          </w:p>
        </w:tc>
      </w:tr>
      <w:tr w:rsidR="009522AF" w:rsidRPr="001017B1" w14:paraId="079E9E76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4EBD16AC" w14:textId="77777777" w:rsidR="009522AF" w:rsidRPr="001017B1" w:rsidRDefault="009522AF" w:rsidP="00747B0B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>Analysis of</w:t>
            </w:r>
            <w:r w:rsidR="00747B0B" w:rsidRPr="001017B1">
              <w:rPr>
                <w:sz w:val="22"/>
                <w:szCs w:val="22"/>
                <w:lang w:val="en-US"/>
              </w:rPr>
              <w:t xml:space="preserve"> all</w:t>
            </w:r>
            <w:r w:rsidRPr="001017B1">
              <w:rPr>
                <w:sz w:val="22"/>
                <w:szCs w:val="22"/>
                <w:lang w:val="en-US"/>
              </w:rPr>
              <w:t xml:space="preserve"> the risks and assumptions defined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 xml:space="preserve"> affecting the execution of the contract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1B9136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10</w:t>
            </w:r>
          </w:p>
        </w:tc>
      </w:tr>
      <w:tr w:rsidR="009522AF" w:rsidRPr="001017B1" w14:paraId="7E80BBF5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6B31C02C" w14:textId="77777777" w:rsidR="009522AF" w:rsidRPr="001017B1" w:rsidRDefault="009522AF" w:rsidP="00F32AD9">
            <w:pPr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Strategy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A657BC" w14:textId="77777777" w:rsidR="009522AF" w:rsidRPr="001017B1" w:rsidRDefault="009522AF" w:rsidP="00F32AD9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b/>
                <w:sz w:val="22"/>
                <w:szCs w:val="22"/>
                <w:highlight w:val="lightGray"/>
                <w:lang w:val="en-US"/>
              </w:rPr>
              <w:t>40</w:t>
            </w:r>
          </w:p>
        </w:tc>
      </w:tr>
      <w:tr w:rsidR="009522AF" w:rsidRPr="001017B1" w14:paraId="4B6E2BA3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2BB79F2A" w14:textId="77777777" w:rsidR="009522AF" w:rsidRPr="001017B1" w:rsidRDefault="009522AF" w:rsidP="00F32AD9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>Explanation of the approach proposed for contract implementation in full compliance with the description of the assignments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61DD28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20</w:t>
            </w:r>
          </w:p>
        </w:tc>
      </w:tr>
      <w:tr w:rsidR="009522AF" w:rsidRPr="001017B1" w14:paraId="128A063D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5C8CD977" w14:textId="77777777" w:rsidR="009522AF" w:rsidRPr="001017B1" w:rsidRDefault="009522AF" w:rsidP="00F32AD9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Identification and description of all specific tasks/activities to be implemented and resources to be observed/used for timely and quality deliverance of the contract objectives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F8E7D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10</w:t>
            </w:r>
          </w:p>
        </w:tc>
      </w:tr>
      <w:tr w:rsidR="009522AF" w:rsidRPr="001017B1" w14:paraId="6D274FAE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541E07CF" w14:textId="77777777" w:rsidR="009522AF" w:rsidRPr="001017B1" w:rsidRDefault="009522AF" w:rsidP="00F32AD9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>Argumentation on how the organizational approach proposed will guarantee timely and quality deliverance of the contract objective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1E6C23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10</w:t>
            </w:r>
          </w:p>
        </w:tc>
      </w:tr>
      <w:tr w:rsidR="009522AF" w:rsidRPr="001017B1" w14:paraId="34AD5511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1828C5AB" w14:textId="77777777" w:rsidR="009522AF" w:rsidRPr="001017B1" w:rsidRDefault="009522AF" w:rsidP="00F32AD9">
            <w:pPr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 xml:space="preserve">Back-up function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3E38C" w14:textId="77777777" w:rsidR="009522AF" w:rsidRPr="001017B1" w:rsidRDefault="009522AF" w:rsidP="00F32AD9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b/>
                <w:sz w:val="22"/>
                <w:szCs w:val="22"/>
                <w:highlight w:val="lightGray"/>
                <w:lang w:val="en-US"/>
              </w:rPr>
              <w:t>10</w:t>
            </w:r>
          </w:p>
        </w:tc>
      </w:tr>
      <w:tr w:rsidR="009522AF" w:rsidRPr="001017B1" w14:paraId="257FB798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78A53388" w14:textId="77777777" w:rsidR="009522AF" w:rsidRPr="001017B1" w:rsidRDefault="009522AF" w:rsidP="001418E0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>Description of the support facilities (back-stopping) that will be ensured during the implementation of the contract, including: staff, units, capacity of permanent staff regularly intervening as experts on similar projects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B6D7BF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2440BA55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2FB309C7" w14:textId="77777777" w:rsidR="009522AF" w:rsidRPr="001017B1" w:rsidRDefault="009522AF" w:rsidP="00F32AD9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Description of the support facilities (back-stopping) that will be ensured during the implementation of the contract, including: provision of relevant expertise in the region/country as well as partner countries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8ADCAE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71F4A604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62390E6B" w14:textId="77777777" w:rsidR="009522AF" w:rsidRPr="001017B1" w:rsidRDefault="009522AF" w:rsidP="00F32AD9">
            <w:pPr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Involvement of all members of the consortium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EB10EA" w14:textId="77777777" w:rsidR="009522AF" w:rsidRPr="001017B1" w:rsidRDefault="009522AF" w:rsidP="00F32AD9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b/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B5575F" w:rsidRPr="001017B1" w14:paraId="59EA5178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5191CC75" w14:textId="77777777" w:rsidR="00B5575F" w:rsidRPr="001017B1" w:rsidRDefault="00B5575F" w:rsidP="00F32AD9">
            <w:pPr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>Description of the input from each member of the consortium and the distribution and interaction of tasks and responsibilities between them.</w:t>
            </w:r>
            <w:r w:rsidR="00C83B97" w:rsidRPr="001017B1">
              <w:rPr>
                <w:lang w:val="en-US"/>
              </w:rPr>
              <w:t xml:space="preserve"> </w:t>
            </w:r>
            <w:r w:rsidR="00C83B97" w:rsidRPr="001017B1">
              <w:rPr>
                <w:sz w:val="22"/>
                <w:szCs w:val="22"/>
                <w:lang w:val="en-US"/>
              </w:rPr>
              <w:t>If a tender is made by an individual company and not by a consortium, the maximum points should be allocated to ‘involvement of the consortium’.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D78A6" w14:textId="77777777" w:rsidR="00B5575F" w:rsidRPr="001017B1" w:rsidRDefault="00B5575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7ABDEC7F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0D444848" w14:textId="77777777" w:rsidR="009522AF" w:rsidRPr="001017B1" w:rsidRDefault="009522AF" w:rsidP="00F32AD9">
            <w:pPr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 xml:space="preserve">Timetable of activities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95A3E9" w14:textId="77777777" w:rsidR="009522AF" w:rsidRPr="001017B1" w:rsidRDefault="009522AF" w:rsidP="00F32AD9">
            <w:pPr>
              <w:jc w:val="center"/>
              <w:rPr>
                <w:b/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b/>
                <w:sz w:val="22"/>
                <w:szCs w:val="22"/>
                <w:highlight w:val="lightGray"/>
                <w:lang w:val="en-US"/>
              </w:rPr>
              <w:t>15</w:t>
            </w:r>
          </w:p>
        </w:tc>
      </w:tr>
      <w:tr w:rsidR="009522AF" w:rsidRPr="001017B1" w14:paraId="2BF71C36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6326AF95" w14:textId="77777777" w:rsidR="009522AF" w:rsidRPr="001017B1" w:rsidRDefault="009522AF" w:rsidP="00E61869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Timetable of the activities </w:t>
            </w:r>
            <w:r w:rsidR="00E61869" w:rsidRPr="001017B1">
              <w:rPr>
                <w:sz w:val="22"/>
                <w:szCs w:val="22"/>
                <w:lang w:val="en-US"/>
              </w:rPr>
              <w:t xml:space="preserve"> in accordance with the indicative time schedule </w:t>
            </w:r>
            <w:r w:rsidR="00486E22">
              <w:rPr>
                <w:sz w:val="22"/>
                <w:szCs w:val="22"/>
                <w:lang w:val="en-US"/>
              </w:rPr>
              <w:t>for the preparation of the two</w:t>
            </w:r>
            <w:r w:rsidR="00E61869" w:rsidRPr="001017B1">
              <w:rPr>
                <w:sz w:val="22"/>
                <w:szCs w:val="22"/>
                <w:lang w:val="en-US"/>
              </w:rPr>
              <w:t xml:space="preserve"> Territorial strategies, set in the </w:t>
            </w:r>
            <w:proofErr w:type="spellStart"/>
            <w:r w:rsidR="00E61869"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="00E61869" w:rsidRPr="001017B1">
              <w:rPr>
                <w:sz w:val="22"/>
                <w:szCs w:val="22"/>
                <w:lang w:val="en-US"/>
              </w:rPr>
              <w:t>,</w:t>
            </w:r>
            <w:r w:rsidR="001418E0" w:rsidRPr="001017B1">
              <w:rPr>
                <w:sz w:val="22"/>
                <w:szCs w:val="22"/>
                <w:lang w:val="en-US"/>
              </w:rPr>
              <w:t xml:space="preserve"> </w:t>
            </w:r>
            <w:r w:rsidRPr="001017B1">
              <w:rPr>
                <w:sz w:val="22"/>
                <w:szCs w:val="22"/>
                <w:lang w:val="en-US"/>
              </w:rPr>
              <w:t>including timing, sequence and duration of the proposed tasks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AD340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612CE733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420214EA" w14:textId="77777777" w:rsidR="009522AF" w:rsidRPr="001017B1" w:rsidRDefault="009522AF" w:rsidP="00FE3DF0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lastRenderedPageBreak/>
              <w:t>Description and timing of major milestones in executing the contract</w:t>
            </w:r>
            <w:r w:rsidR="00432147" w:rsidRPr="001017B1">
              <w:rPr>
                <w:sz w:val="22"/>
                <w:szCs w:val="22"/>
                <w:lang w:val="en-US"/>
              </w:rPr>
              <w:t xml:space="preserve"> </w:t>
            </w:r>
            <w:r w:rsidR="00D41856" w:rsidRPr="001017B1">
              <w:rPr>
                <w:sz w:val="22"/>
                <w:szCs w:val="22"/>
                <w:lang w:val="en-US"/>
              </w:rPr>
              <w:t xml:space="preserve">in accordance with the indicative time schedule for the preparation of the </w:t>
            </w:r>
            <w:r w:rsidR="00FE3DF0">
              <w:rPr>
                <w:sz w:val="22"/>
                <w:szCs w:val="22"/>
                <w:lang w:val="en-US"/>
              </w:rPr>
              <w:t>two</w:t>
            </w:r>
            <w:r w:rsidR="00FE3DF0" w:rsidRPr="001017B1">
              <w:rPr>
                <w:sz w:val="22"/>
                <w:szCs w:val="22"/>
                <w:lang w:val="en-US"/>
              </w:rPr>
              <w:t xml:space="preserve"> </w:t>
            </w:r>
            <w:r w:rsidR="00D41856" w:rsidRPr="001017B1">
              <w:rPr>
                <w:sz w:val="22"/>
                <w:szCs w:val="22"/>
                <w:lang w:val="en-US"/>
              </w:rPr>
              <w:t xml:space="preserve">Territorial strategies, set in the </w:t>
            </w:r>
            <w:proofErr w:type="spellStart"/>
            <w:r w:rsidR="00D41856"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4E931EB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03EF5AFE" w14:textId="77777777" w:rsidTr="00F32AD9">
        <w:trPr>
          <w:cantSplit/>
          <w:jc w:val="center"/>
        </w:trPr>
        <w:tc>
          <w:tcPr>
            <w:tcW w:w="3970" w:type="dxa"/>
            <w:shd w:val="clear" w:color="auto" w:fill="auto"/>
            <w:vAlign w:val="center"/>
          </w:tcPr>
          <w:p w14:paraId="12AE7FC6" w14:textId="77777777" w:rsidR="009522AF" w:rsidRPr="001017B1" w:rsidRDefault="001418E0" w:rsidP="001418E0">
            <w:pPr>
              <w:rPr>
                <w:sz w:val="22"/>
                <w:szCs w:val="22"/>
                <w:lang w:val="en-US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The methodologies contained in the offer include a work plan indicating the envisaged resources to be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mobilised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88627" w14:textId="77777777" w:rsidR="009522AF" w:rsidRPr="001017B1" w:rsidRDefault="009522AF" w:rsidP="00F32AD9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1017B1">
              <w:rPr>
                <w:sz w:val="22"/>
                <w:szCs w:val="22"/>
                <w:highlight w:val="lightGray"/>
                <w:lang w:val="en-US"/>
              </w:rPr>
              <w:t>5</w:t>
            </w:r>
          </w:p>
        </w:tc>
      </w:tr>
      <w:tr w:rsidR="009522AF" w:rsidRPr="001017B1" w14:paraId="4988AE0E" w14:textId="77777777" w:rsidTr="00F32AD9">
        <w:trPr>
          <w:cantSplit/>
          <w:jc w:val="center"/>
        </w:trPr>
        <w:tc>
          <w:tcPr>
            <w:tcW w:w="3970" w:type="dxa"/>
            <w:shd w:val="clear" w:color="auto" w:fill="D9D9D9"/>
            <w:vAlign w:val="center"/>
          </w:tcPr>
          <w:p w14:paraId="10826711" w14:textId="77777777" w:rsidR="009522AF" w:rsidRPr="001017B1" w:rsidRDefault="009522AF" w:rsidP="00F32AD9">
            <w:pPr>
              <w:spacing w:before="80" w:after="80"/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 xml:space="preserve">Total score for </w:t>
            </w:r>
            <w:proofErr w:type="spellStart"/>
            <w:r w:rsidRPr="001017B1">
              <w:rPr>
                <w:b/>
                <w:sz w:val="22"/>
                <w:szCs w:val="22"/>
                <w:lang w:val="en-US"/>
              </w:rPr>
              <w:t>organisation</w:t>
            </w:r>
            <w:proofErr w:type="spellEnd"/>
            <w:r w:rsidRPr="001017B1">
              <w:rPr>
                <w:b/>
                <w:sz w:val="22"/>
                <w:szCs w:val="22"/>
                <w:lang w:val="en-US"/>
              </w:rPr>
              <w:t xml:space="preserve"> and methodology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5B8B1C4" w14:textId="77777777" w:rsidR="009522AF" w:rsidRPr="001017B1" w:rsidRDefault="009522AF" w:rsidP="00F32AD9">
            <w:pPr>
              <w:spacing w:before="80" w:after="80"/>
              <w:jc w:val="center"/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100</w:t>
            </w:r>
          </w:p>
        </w:tc>
      </w:tr>
      <w:tr w:rsidR="009522AF" w:rsidRPr="001017B1" w14:paraId="3D1727FC" w14:textId="77777777" w:rsidTr="00F32AD9">
        <w:trPr>
          <w:cantSplit/>
          <w:jc w:val="center"/>
        </w:trPr>
        <w:tc>
          <w:tcPr>
            <w:tcW w:w="3970" w:type="dxa"/>
            <w:shd w:val="clear" w:color="auto" w:fill="B3B3B3"/>
            <w:vAlign w:val="center"/>
          </w:tcPr>
          <w:p w14:paraId="1B8A20AF" w14:textId="77777777" w:rsidR="009522AF" w:rsidRPr="001017B1" w:rsidRDefault="009522AF" w:rsidP="00F32AD9">
            <w:pPr>
              <w:spacing w:before="120" w:after="120"/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Overall total score</w:t>
            </w:r>
          </w:p>
        </w:tc>
        <w:tc>
          <w:tcPr>
            <w:tcW w:w="1134" w:type="dxa"/>
            <w:shd w:val="clear" w:color="auto" w:fill="B3B3B3"/>
            <w:vAlign w:val="center"/>
          </w:tcPr>
          <w:p w14:paraId="1D14ABFF" w14:textId="77777777" w:rsidR="009522AF" w:rsidRPr="001017B1" w:rsidRDefault="009522AF" w:rsidP="00F32AD9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100</w:t>
            </w:r>
          </w:p>
        </w:tc>
      </w:tr>
    </w:tbl>
    <w:p w14:paraId="3C65B9ED" w14:textId="77777777" w:rsidR="00BC47FD" w:rsidRPr="001017B1" w:rsidRDefault="00BC47FD" w:rsidP="00BC47FD">
      <w:pPr>
        <w:pStyle w:val="AltBilgi"/>
        <w:rPr>
          <w:b/>
          <w:sz w:val="20"/>
          <w:lang w:val="en-US"/>
        </w:rPr>
      </w:pPr>
    </w:p>
    <w:p w14:paraId="259A8899" w14:textId="77777777" w:rsidR="00BC47FD" w:rsidRPr="001017B1" w:rsidRDefault="00BC47FD" w:rsidP="00BC47FD">
      <w:pPr>
        <w:pStyle w:val="AltBilgi"/>
        <w:rPr>
          <w:b/>
          <w:sz w:val="20"/>
          <w:lang w:val="en-US"/>
        </w:rPr>
      </w:pPr>
    </w:p>
    <w:p w14:paraId="347724B5" w14:textId="77777777" w:rsidR="00376664" w:rsidRPr="001017B1" w:rsidRDefault="00376664" w:rsidP="00376664">
      <w:pPr>
        <w:rPr>
          <w:sz w:val="22"/>
          <w:szCs w:val="22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1017B1" w14:paraId="2CCECC5F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9C80666" w14:textId="77777777" w:rsidR="00376664" w:rsidRPr="001017B1" w:rsidRDefault="00376664" w:rsidP="00D7253C">
            <w:pPr>
              <w:spacing w:before="120" w:after="120"/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9AA5E4E" w14:textId="77777777" w:rsidR="00376664" w:rsidRPr="001017B1" w:rsidRDefault="00376664" w:rsidP="00D7253C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  <w:p w14:paraId="47F0BBB7" w14:textId="77777777" w:rsidR="00376664" w:rsidRPr="001017B1" w:rsidRDefault="00376664" w:rsidP="00D7253C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  <w:p w14:paraId="795E2C1A" w14:textId="77777777" w:rsidR="00376664" w:rsidRPr="001017B1" w:rsidRDefault="00376664" w:rsidP="00D7253C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</w:tc>
      </w:tr>
      <w:tr w:rsidR="00376664" w:rsidRPr="001017B1" w14:paraId="009B61A1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48313C8" w14:textId="77777777" w:rsidR="00376664" w:rsidRPr="001017B1" w:rsidRDefault="00376664" w:rsidP="00D7253C">
            <w:pPr>
              <w:spacing w:before="120" w:after="120"/>
              <w:rPr>
                <w:b/>
                <w:sz w:val="22"/>
                <w:szCs w:val="22"/>
                <w:lang w:val="en-US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39AAD23" w14:textId="77777777" w:rsidR="00376664" w:rsidRPr="001017B1" w:rsidRDefault="00376664" w:rsidP="00D7253C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  <w:p w14:paraId="5FF0C425" w14:textId="77777777" w:rsidR="00376664" w:rsidRPr="001017B1" w:rsidRDefault="00376664" w:rsidP="00D7253C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  <w:p w14:paraId="32A1B4A1" w14:textId="77777777" w:rsidR="00376664" w:rsidRPr="001017B1" w:rsidRDefault="00376664" w:rsidP="00D7253C">
            <w:pPr>
              <w:spacing w:before="40" w:after="40"/>
              <w:rPr>
                <w:sz w:val="22"/>
                <w:szCs w:val="22"/>
                <w:lang w:val="en-US"/>
              </w:rPr>
            </w:pPr>
          </w:p>
        </w:tc>
      </w:tr>
    </w:tbl>
    <w:p w14:paraId="63FD087F" w14:textId="77777777" w:rsidR="00376664" w:rsidRPr="001017B1" w:rsidRDefault="00376664" w:rsidP="00BC47FD">
      <w:pPr>
        <w:pStyle w:val="AltBilgi"/>
        <w:rPr>
          <w:szCs w:val="24"/>
          <w:lang w:val="en-US"/>
        </w:rPr>
      </w:pPr>
    </w:p>
    <w:p w14:paraId="7D3BD404" w14:textId="77777777" w:rsidR="00376664" w:rsidRPr="001017B1" w:rsidRDefault="00376664" w:rsidP="00BC47FD">
      <w:pPr>
        <w:pStyle w:val="AltBilgi"/>
        <w:rPr>
          <w:szCs w:val="24"/>
          <w:lang w:val="en-US"/>
        </w:rPr>
      </w:pPr>
    </w:p>
    <w:p w14:paraId="7B4187A0" w14:textId="77777777" w:rsidR="00BC47FD" w:rsidRPr="001017B1" w:rsidRDefault="00BC47FD" w:rsidP="00BC47FD">
      <w:pPr>
        <w:pStyle w:val="AltBilgi"/>
        <w:rPr>
          <w:sz w:val="20"/>
          <w:lang w:val="en-US"/>
        </w:rPr>
      </w:pPr>
      <w:r w:rsidRPr="001017B1">
        <w:rPr>
          <w:sz w:val="20"/>
          <w:lang w:val="en-US"/>
        </w:rPr>
        <w:t>NB</w:t>
      </w:r>
      <w:r w:rsidR="00C03EEA" w:rsidRPr="001017B1">
        <w:rPr>
          <w:sz w:val="20"/>
          <w:lang w:val="en-US"/>
        </w:rPr>
        <w:t>:</w:t>
      </w:r>
      <w:r w:rsidRPr="001017B1">
        <w:rPr>
          <w:sz w:val="20"/>
          <w:lang w:val="en-US"/>
        </w:rPr>
        <w:t xml:space="preserve"> Only tenders with average scores of at least </w:t>
      </w:r>
      <w:r w:rsidR="004D0E5A" w:rsidRPr="001017B1">
        <w:rPr>
          <w:sz w:val="20"/>
          <w:lang w:val="en-US"/>
        </w:rPr>
        <w:t xml:space="preserve">75 </w:t>
      </w:r>
      <w:r w:rsidRPr="001017B1">
        <w:rPr>
          <w:sz w:val="20"/>
          <w:lang w:val="en-US"/>
        </w:rPr>
        <w:t>points qualify for the financial evaluation</w:t>
      </w:r>
    </w:p>
    <w:p w14:paraId="1BFCEDCD" w14:textId="77777777" w:rsidR="00430315" w:rsidRPr="001017B1" w:rsidRDefault="00430315">
      <w:pPr>
        <w:rPr>
          <w:sz w:val="22"/>
          <w:szCs w:val="22"/>
          <w:lang w:val="en-US"/>
        </w:rPr>
      </w:pPr>
    </w:p>
    <w:p w14:paraId="513BA1DF" w14:textId="77777777" w:rsidR="00BC47FD" w:rsidRPr="001017B1" w:rsidRDefault="00BC47FD">
      <w:pPr>
        <w:rPr>
          <w:sz w:val="22"/>
          <w:szCs w:val="22"/>
          <w:lang w:val="en-US"/>
        </w:rPr>
      </w:pPr>
    </w:p>
    <w:sectPr w:rsidR="00BC47FD" w:rsidRPr="001017B1" w:rsidSect="00FB02EF">
      <w:headerReference w:type="default" r:id="rId8"/>
      <w:footerReference w:type="default" r:id="rId9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E363D" w14:textId="77777777" w:rsidR="00140BD9" w:rsidRDefault="00140BD9">
      <w:r>
        <w:separator/>
      </w:r>
    </w:p>
  </w:endnote>
  <w:endnote w:type="continuationSeparator" w:id="0">
    <w:p w14:paraId="334DEA88" w14:textId="77777777" w:rsidR="00140BD9" w:rsidRDefault="00140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Cambria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8B985" w14:textId="77777777" w:rsidR="000B17D4" w:rsidRDefault="00374F80" w:rsidP="00E55104">
    <w:pPr>
      <w:pStyle w:val="AltBilgi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1C6D92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1C6D92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14:paraId="5711DF8F" w14:textId="77777777" w:rsidR="000B17D4" w:rsidRPr="00FB02EF" w:rsidRDefault="000B17D4" w:rsidP="00FB02EF">
    <w:pPr>
      <w:pStyle w:val="AltBilgi"/>
      <w:tabs>
        <w:tab w:val="clear" w:pos="4153"/>
      </w:tabs>
      <w:rPr>
        <w:sz w:val="18"/>
        <w:szCs w:val="18"/>
      </w:rPr>
    </w:pPr>
    <w:r w:rsidRPr="00324A1E">
      <w:rPr>
        <w:rStyle w:val="SayfaNumaras"/>
        <w:sz w:val="18"/>
        <w:szCs w:val="18"/>
      </w:rPr>
      <w:fldChar w:fldCharType="begin"/>
    </w:r>
    <w:r w:rsidRPr="00324A1E">
      <w:rPr>
        <w:rStyle w:val="SayfaNumaras"/>
        <w:sz w:val="18"/>
        <w:szCs w:val="18"/>
      </w:rPr>
      <w:instrText xml:space="preserve"> FILENAME </w:instrText>
    </w:r>
    <w:r w:rsidRPr="00324A1E">
      <w:rPr>
        <w:rStyle w:val="SayfaNumaras"/>
        <w:sz w:val="18"/>
        <w:szCs w:val="18"/>
      </w:rPr>
      <w:fldChar w:fldCharType="separate"/>
    </w:r>
    <w:r w:rsidR="00694FDA">
      <w:rPr>
        <w:rStyle w:val="SayfaNumaras"/>
        <w:noProof/>
        <w:sz w:val="18"/>
        <w:szCs w:val="18"/>
      </w:rPr>
      <w:t>b8m2_evalgrid_global_en.doc</w:t>
    </w:r>
    <w:r w:rsidRPr="00324A1E">
      <w:rPr>
        <w:rStyle w:val="SayfaNumara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D16D6" w14:textId="77777777" w:rsidR="00140BD9" w:rsidRDefault="00140BD9">
      <w:r>
        <w:separator/>
      </w:r>
    </w:p>
  </w:footnote>
  <w:footnote w:type="continuationSeparator" w:id="0">
    <w:p w14:paraId="00A61EC7" w14:textId="77777777" w:rsidR="00140BD9" w:rsidRDefault="00140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88"/>
      <w:gridCol w:w="5461"/>
      <w:gridCol w:w="1296"/>
    </w:tblGrid>
    <w:tr w:rsidR="00BB3B33" w:rsidRPr="00CD5FCD" w14:paraId="25FD0D4C" w14:textId="77777777" w:rsidTr="004E59EB">
      <w:trPr>
        <w:jc w:val="center"/>
      </w:trPr>
      <w:tc>
        <w:tcPr>
          <w:tcW w:w="2900" w:type="dxa"/>
          <w:hideMark/>
        </w:tcPr>
        <w:p w14:paraId="09ACE91E" w14:textId="77777777" w:rsidR="00BB3B33" w:rsidRPr="00CD5FCD" w:rsidRDefault="00BB3B33" w:rsidP="00BB3B33">
          <w:pPr>
            <w:tabs>
              <w:tab w:val="center" w:pos="4536"/>
              <w:tab w:val="right" w:pos="9072"/>
            </w:tabs>
            <w:snapToGrid w:val="0"/>
          </w:pPr>
          <w:r w:rsidRPr="00CD5FCD">
            <w:rPr>
              <w:noProof/>
              <w:lang w:val="tr-TR" w:eastAsia="tr-TR"/>
            </w:rPr>
            <w:drawing>
              <wp:inline distT="0" distB="0" distL="0" distR="0" wp14:anchorId="77F3F612" wp14:editId="65340C18">
                <wp:extent cx="1760220" cy="548640"/>
                <wp:effectExtent l="0" t="0" r="0" b="3810"/>
                <wp:docPr id="1" name="Picture 2" descr="Interreg BG TR Logo 3 lin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nterreg BG TR Logo 3 lin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02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14:paraId="4977CE3C" w14:textId="77777777" w:rsidR="00BB3B33" w:rsidRPr="00CD5FCD" w:rsidRDefault="00BB3B33" w:rsidP="00BB3B33">
          <w:pPr>
            <w:tabs>
              <w:tab w:val="center" w:pos="4536"/>
              <w:tab w:val="right" w:pos="9072"/>
            </w:tabs>
            <w:snapToGrid w:val="0"/>
            <w:rPr>
              <w:i/>
            </w:rPr>
          </w:pPr>
        </w:p>
        <w:p w14:paraId="142F9F54" w14:textId="77777777" w:rsidR="00BB3B33" w:rsidRDefault="00BB3B33" w:rsidP="00BB3B33">
          <w:pPr>
            <w:rPr>
              <w:b/>
              <w:bCs/>
            </w:rPr>
          </w:pPr>
          <w:r w:rsidRPr="00310F9B">
            <w:rPr>
              <w:b/>
              <w:bCs/>
            </w:rPr>
            <w:t>From Past to Present the Power of Folklore</w:t>
          </w:r>
        </w:p>
        <w:p w14:paraId="02001098" w14:textId="77777777" w:rsidR="00BB3B33" w:rsidRPr="00310F9B" w:rsidRDefault="00BB3B33" w:rsidP="00BB3B33">
          <w:pPr>
            <w:jc w:val="center"/>
            <w:rPr>
              <w:b/>
              <w:bCs/>
            </w:rPr>
          </w:pPr>
          <w:r w:rsidRPr="00310F9B">
            <w:rPr>
              <w:b/>
              <w:bCs/>
            </w:rPr>
            <w:t>-CB005.2.22.098 -</w:t>
          </w:r>
        </w:p>
        <w:p w14:paraId="578937BD" w14:textId="77777777" w:rsidR="00BB3B33" w:rsidRPr="00CD5FCD" w:rsidRDefault="00BB3B33" w:rsidP="00BB3B33">
          <w:pPr>
            <w:tabs>
              <w:tab w:val="center" w:pos="4536"/>
              <w:tab w:val="right" w:pos="9072"/>
            </w:tabs>
            <w:snapToGrid w:val="0"/>
            <w:jc w:val="center"/>
            <w:rPr>
              <w:i/>
            </w:rPr>
          </w:pPr>
        </w:p>
      </w:tc>
      <w:tc>
        <w:tcPr>
          <w:tcW w:w="0" w:type="auto"/>
          <w:vAlign w:val="bottom"/>
          <w:hideMark/>
        </w:tcPr>
        <w:p w14:paraId="462C210F" w14:textId="77777777" w:rsidR="00BB3B33" w:rsidRPr="00CD5FCD" w:rsidRDefault="00BB3B33" w:rsidP="00BB3B33">
          <w:pPr>
            <w:tabs>
              <w:tab w:val="center" w:pos="4536"/>
              <w:tab w:val="right" w:pos="9072"/>
            </w:tabs>
            <w:snapToGrid w:val="0"/>
          </w:pPr>
          <w:r w:rsidRPr="00CD5FCD">
            <w:rPr>
              <w:noProof/>
              <w:lang w:val="tr-TR" w:eastAsia="tr-TR"/>
            </w:rPr>
            <w:drawing>
              <wp:inline distT="0" distB="0" distL="0" distR="0" wp14:anchorId="18C0E2CB" wp14:editId="3AC932B4">
                <wp:extent cx="685800" cy="579120"/>
                <wp:effectExtent l="0" t="0" r="0" b="0"/>
                <wp:docPr id="2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CD5FCD">
            <w:t xml:space="preserve">   </w:t>
          </w:r>
        </w:p>
      </w:tc>
    </w:tr>
  </w:tbl>
  <w:p w14:paraId="61C2CFDB" w14:textId="77777777" w:rsidR="00BB3B33" w:rsidRDefault="00BB3B33" w:rsidP="00FB02EF">
    <w:pPr>
      <w:pStyle w:val="AltBilgi"/>
      <w:jc w:val="center"/>
      <w:rPr>
        <w:b/>
        <w:sz w:val="28"/>
        <w:szCs w:val="28"/>
      </w:rPr>
    </w:pPr>
  </w:p>
  <w:p w14:paraId="434E9724" w14:textId="64531112" w:rsidR="000B17D4" w:rsidRPr="00FB02EF" w:rsidRDefault="000B17D4" w:rsidP="00FB02EF">
    <w:pPr>
      <w:pStyle w:val="AltBilgi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2489"/>
    <w:rsid w:val="000A68A0"/>
    <w:rsid w:val="000B17D4"/>
    <w:rsid w:val="000C60B0"/>
    <w:rsid w:val="000F363A"/>
    <w:rsid w:val="001017B1"/>
    <w:rsid w:val="0010353C"/>
    <w:rsid w:val="0010663B"/>
    <w:rsid w:val="001375B0"/>
    <w:rsid w:val="00140BD9"/>
    <w:rsid w:val="001418E0"/>
    <w:rsid w:val="00172FB0"/>
    <w:rsid w:val="001C6D92"/>
    <w:rsid w:val="001D4288"/>
    <w:rsid w:val="001E2683"/>
    <w:rsid w:val="00222B6A"/>
    <w:rsid w:val="0024619C"/>
    <w:rsid w:val="00274A72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32147"/>
    <w:rsid w:val="00445790"/>
    <w:rsid w:val="004642BF"/>
    <w:rsid w:val="00467D6B"/>
    <w:rsid w:val="00486E22"/>
    <w:rsid w:val="00494E91"/>
    <w:rsid w:val="004B022F"/>
    <w:rsid w:val="004D0E5A"/>
    <w:rsid w:val="0050149A"/>
    <w:rsid w:val="0053409D"/>
    <w:rsid w:val="00544970"/>
    <w:rsid w:val="00545DFB"/>
    <w:rsid w:val="0054638C"/>
    <w:rsid w:val="005742DA"/>
    <w:rsid w:val="00576F4A"/>
    <w:rsid w:val="00585D34"/>
    <w:rsid w:val="00592E86"/>
    <w:rsid w:val="005B30FE"/>
    <w:rsid w:val="005B41E3"/>
    <w:rsid w:val="005C604B"/>
    <w:rsid w:val="005E1430"/>
    <w:rsid w:val="006031F6"/>
    <w:rsid w:val="00620332"/>
    <w:rsid w:val="00631B05"/>
    <w:rsid w:val="00636192"/>
    <w:rsid w:val="00694FDA"/>
    <w:rsid w:val="006D64C6"/>
    <w:rsid w:val="006F138D"/>
    <w:rsid w:val="006F4042"/>
    <w:rsid w:val="007215F4"/>
    <w:rsid w:val="00724A05"/>
    <w:rsid w:val="00725E8A"/>
    <w:rsid w:val="00740EEA"/>
    <w:rsid w:val="00747B0B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522AF"/>
    <w:rsid w:val="0095687C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5575F"/>
    <w:rsid w:val="00BB3B33"/>
    <w:rsid w:val="00BC47FD"/>
    <w:rsid w:val="00BE57B3"/>
    <w:rsid w:val="00C03EEA"/>
    <w:rsid w:val="00C04101"/>
    <w:rsid w:val="00C61D94"/>
    <w:rsid w:val="00C74313"/>
    <w:rsid w:val="00C83B97"/>
    <w:rsid w:val="00C86723"/>
    <w:rsid w:val="00C8704A"/>
    <w:rsid w:val="00C906F1"/>
    <w:rsid w:val="00CB021E"/>
    <w:rsid w:val="00CC082B"/>
    <w:rsid w:val="00CC72B7"/>
    <w:rsid w:val="00CF12E4"/>
    <w:rsid w:val="00D011F8"/>
    <w:rsid w:val="00D1109D"/>
    <w:rsid w:val="00D41856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61869"/>
    <w:rsid w:val="00EA6EF2"/>
    <w:rsid w:val="00EA7359"/>
    <w:rsid w:val="00F501B9"/>
    <w:rsid w:val="00F52416"/>
    <w:rsid w:val="00FB02EF"/>
    <w:rsid w:val="00FE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B2C5AD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pPr>
      <w:tabs>
        <w:tab w:val="center" w:pos="4153"/>
        <w:tab w:val="right" w:pos="8306"/>
      </w:tabs>
    </w:pPr>
  </w:style>
  <w:style w:type="paragraph" w:styleId="stBilgi">
    <w:name w:val="header"/>
    <w:basedOn w:val="Normal"/>
    <w:link w:val="stBilgiChar"/>
    <w:pPr>
      <w:tabs>
        <w:tab w:val="center" w:pos="4153"/>
        <w:tab w:val="right" w:pos="8306"/>
      </w:tabs>
    </w:pPr>
  </w:style>
  <w:style w:type="paragraph" w:styleId="BalonMetni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SayfaNumaras">
    <w:name w:val="page number"/>
    <w:basedOn w:val="VarsaylanParagrafYazTipi"/>
    <w:rsid w:val="00FB02EF"/>
  </w:style>
  <w:style w:type="character" w:customStyle="1" w:styleId="stBilgiChar">
    <w:name w:val="Üst Bilgi Char"/>
    <w:link w:val="stBilgi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0DEF3-E360-40D6-93CB-7B1A4DF5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Değer  Muhasebe Mali Müşavirlik</cp:lastModifiedBy>
  <cp:revision>10</cp:revision>
  <cp:lastPrinted>2020-08-10T09:06:00Z</cp:lastPrinted>
  <dcterms:created xsi:type="dcterms:W3CDTF">2020-08-10T10:09:00Z</dcterms:created>
  <dcterms:modified xsi:type="dcterms:W3CDTF">2020-12-03T07:57:00Z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