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3BB40" w14:textId="77777777" w:rsidR="001050EE" w:rsidRPr="00C4392E" w:rsidRDefault="001050EE" w:rsidP="00C4392E">
      <w:pPr>
        <w:jc w:val="center"/>
        <w:rPr>
          <w:b/>
          <w:sz w:val="28"/>
          <w:szCs w:val="28"/>
        </w:rPr>
      </w:pPr>
      <w:r w:rsidRPr="00C4392E">
        <w:rPr>
          <w:b/>
          <w:sz w:val="28"/>
          <w:szCs w:val="28"/>
        </w:rPr>
        <w:t>VOLUME 2</w:t>
      </w:r>
    </w:p>
    <w:p w14:paraId="30B35201"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6A5DBC57"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290F367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7AA2DEE" w14:textId="77777777"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34B3D8E6" w14:textId="77777777" w:rsidR="001466DD" w:rsidRPr="00F162E3" w:rsidRDefault="001466DD" w:rsidP="00F162E3">
      <w:pPr>
        <w:jc w:val="both"/>
        <w:rPr>
          <w:b/>
          <w:sz w:val="22"/>
          <w:szCs w:val="22"/>
        </w:rPr>
      </w:pPr>
    </w:p>
    <w:p w14:paraId="7294BE87"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4F5E2C1D"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6ACF441A"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34CF691F" w14:textId="77777777" w:rsidR="002622CD" w:rsidRDefault="003D764D" w:rsidP="003D764D">
      <w:pPr>
        <w:spacing w:before="120" w:after="120"/>
        <w:ind w:left="1134" w:hanging="567"/>
        <w:rPr>
          <w:sz w:val="22"/>
          <w:szCs w:val="22"/>
          <w:lang w:val="en-US"/>
        </w:rPr>
      </w:pPr>
      <w:r w:rsidRPr="00F162E3">
        <w:rPr>
          <w:sz w:val="22"/>
          <w:szCs w:val="22"/>
        </w:rPr>
        <w:t>4.1</w:t>
      </w:r>
      <w:r w:rsidRPr="00F162E3">
        <w:rPr>
          <w:sz w:val="22"/>
          <w:szCs w:val="22"/>
        </w:rPr>
        <w:tab/>
      </w:r>
      <w:r w:rsidR="002622CD">
        <w:rPr>
          <w:sz w:val="22"/>
          <w:szCs w:val="22"/>
          <w:lang w:val="en-US"/>
        </w:rPr>
        <w:t>For the contracting authority:</w:t>
      </w:r>
    </w:p>
    <w:p w14:paraId="2FD3CD4B" w14:textId="4308979C" w:rsidR="002622CD" w:rsidRPr="002622CD" w:rsidRDefault="002622CD" w:rsidP="002622CD">
      <w:pPr>
        <w:spacing w:before="120" w:after="120"/>
        <w:ind w:left="1134" w:hanging="567"/>
        <w:rPr>
          <w:sz w:val="22"/>
          <w:szCs w:val="22"/>
        </w:rPr>
      </w:pPr>
      <w:r>
        <w:rPr>
          <w:sz w:val="22"/>
          <w:szCs w:val="22"/>
        </w:rPr>
        <w:t xml:space="preserve"> </w:t>
      </w:r>
      <w:r>
        <w:rPr>
          <w:sz w:val="22"/>
          <w:szCs w:val="22"/>
        </w:rPr>
        <w:tab/>
      </w:r>
      <w:r w:rsidRPr="002622CD">
        <w:rPr>
          <w:sz w:val="22"/>
          <w:szCs w:val="22"/>
        </w:rPr>
        <w:t>Violeta Nedialkova</w:t>
      </w:r>
    </w:p>
    <w:p w14:paraId="6B7790AF" w14:textId="3D6E86CF" w:rsidR="002622CD" w:rsidRPr="002622CD" w:rsidRDefault="002622CD" w:rsidP="002622CD">
      <w:pPr>
        <w:spacing w:before="120" w:after="120"/>
        <w:ind w:left="1134"/>
        <w:rPr>
          <w:sz w:val="22"/>
          <w:szCs w:val="22"/>
        </w:rPr>
      </w:pPr>
      <w:r w:rsidRPr="002622CD">
        <w:rPr>
          <w:sz w:val="22"/>
          <w:szCs w:val="22"/>
        </w:rPr>
        <w:t>Address: str. “Bulgaria” 49</w:t>
      </w:r>
      <w:r>
        <w:rPr>
          <w:sz w:val="22"/>
          <w:szCs w:val="22"/>
        </w:rPr>
        <w:t>, Ivaylovgrad, Bulgaria</w:t>
      </w:r>
    </w:p>
    <w:p w14:paraId="64F66CA1" w14:textId="77777777" w:rsidR="002622CD" w:rsidRPr="002622CD" w:rsidRDefault="002622CD" w:rsidP="002622CD">
      <w:pPr>
        <w:spacing w:before="120" w:after="120"/>
        <w:ind w:left="1134"/>
        <w:rPr>
          <w:sz w:val="22"/>
          <w:szCs w:val="22"/>
        </w:rPr>
      </w:pPr>
      <w:r w:rsidRPr="002622CD">
        <w:rPr>
          <w:sz w:val="22"/>
          <w:szCs w:val="22"/>
        </w:rPr>
        <w:t>Fax: N/A</w:t>
      </w:r>
    </w:p>
    <w:p w14:paraId="2C74850B" w14:textId="241CE31E" w:rsidR="001050EE" w:rsidRDefault="002622CD" w:rsidP="002622CD">
      <w:pPr>
        <w:spacing w:before="120" w:after="120"/>
        <w:ind w:left="1134"/>
        <w:rPr>
          <w:sz w:val="22"/>
          <w:szCs w:val="22"/>
        </w:rPr>
      </w:pPr>
      <w:r w:rsidRPr="002622CD">
        <w:rPr>
          <w:sz w:val="22"/>
          <w:szCs w:val="22"/>
        </w:rPr>
        <w:t xml:space="preserve">E-mail - </w:t>
      </w:r>
      <w:hyperlink r:id="rId8" w:history="1">
        <w:r w:rsidRPr="00642C76">
          <w:rPr>
            <w:rStyle w:val="Hyperlink"/>
            <w:sz w:val="22"/>
            <w:szCs w:val="22"/>
          </w:rPr>
          <w:t>vailetat@gmail.com</w:t>
        </w:r>
      </w:hyperlink>
    </w:p>
    <w:p w14:paraId="50B05D6B" w14:textId="2E6CA11A" w:rsidR="002622CD" w:rsidRDefault="002622CD" w:rsidP="002622CD">
      <w:pPr>
        <w:spacing w:before="120" w:after="120"/>
        <w:ind w:left="1134"/>
        <w:rPr>
          <w:sz w:val="22"/>
          <w:szCs w:val="22"/>
        </w:rPr>
      </w:pPr>
      <w:r>
        <w:rPr>
          <w:sz w:val="22"/>
          <w:szCs w:val="22"/>
        </w:rPr>
        <w:t>For the contractor:</w:t>
      </w:r>
      <w:bookmarkStart w:id="11" w:name="_GoBack"/>
      <w:bookmarkEnd w:id="11"/>
      <w:r w:rsidRPr="002622CD">
        <w:rPr>
          <w:sz w:val="22"/>
          <w:szCs w:val="22"/>
          <w:highlight w:val="yellow"/>
        </w:rPr>
        <w:t>……</w:t>
      </w:r>
    </w:p>
    <w:p w14:paraId="0D20CA8B"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E06FE47"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314FB44E"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176AAFF8" w14:textId="3A1BF5CE" w:rsidR="00E94F7D" w:rsidRPr="00E94F7D" w:rsidRDefault="001A72CD" w:rsidP="00E94F7D">
      <w:pPr>
        <w:spacing w:after="120"/>
        <w:ind w:left="1276" w:hanging="556"/>
        <w:jc w:val="both"/>
        <w:rPr>
          <w:bCs/>
          <w:sz w:val="22"/>
          <w:szCs w:val="22"/>
          <w:lang w:val="bg-BG"/>
        </w:rPr>
      </w:pPr>
      <w:r>
        <w:rPr>
          <w:bCs/>
          <w:sz w:val="22"/>
          <w:szCs w:val="22"/>
        </w:rPr>
        <w:t>12.9</w:t>
      </w:r>
      <w:r>
        <w:rPr>
          <w:bCs/>
          <w:sz w:val="22"/>
          <w:szCs w:val="22"/>
        </w:rPr>
        <w:tab/>
      </w:r>
      <w:r w:rsidR="00E94F7D" w:rsidRPr="00E94F7D">
        <w:rPr>
          <w:bCs/>
          <w:sz w:val="22"/>
          <w:szCs w:val="22"/>
        </w:rPr>
        <w:t>The contractor shall elaborate the design of the above materials in full compliance with the publicity requirements of the In</w:t>
      </w:r>
      <w:r w:rsidR="00066DEE">
        <w:rPr>
          <w:bCs/>
          <w:sz w:val="22"/>
          <w:szCs w:val="22"/>
        </w:rPr>
        <w:t>terreg IPA CBC Bulgaria – Turkey</w:t>
      </w:r>
      <w:r w:rsidR="00E94F7D" w:rsidRPr="00E94F7D">
        <w:rPr>
          <w:bCs/>
          <w:sz w:val="22"/>
          <w:szCs w:val="22"/>
        </w:rPr>
        <w:t xml:space="preserve"> Programme according to the latest versions of the Project Implementation Manual (PIM) and Annex 10 to the PIM: Communication and Visibility Guidelines, available in the Programme website: </w:t>
      </w:r>
      <w:hyperlink r:id="rId9" w:history="1">
        <w:r w:rsidR="00066DEE" w:rsidRPr="00C12CBE">
          <w:rPr>
            <w:rStyle w:val="Hyperlink"/>
          </w:rPr>
          <w:t>http://www.ipacbc-bgtr.eu/</w:t>
        </w:r>
      </w:hyperlink>
      <w:r w:rsidR="00066DEE">
        <w:t xml:space="preserve"> </w:t>
      </w:r>
    </w:p>
    <w:p w14:paraId="59C4D586" w14:textId="72ED86BF" w:rsidR="001A72CD" w:rsidRPr="00E725FE" w:rsidRDefault="00E94F7D" w:rsidP="00E94F7D">
      <w:pPr>
        <w:spacing w:after="120"/>
        <w:ind w:left="1276"/>
        <w:jc w:val="both"/>
        <w:rPr>
          <w:b/>
          <w:bCs/>
          <w:sz w:val="22"/>
          <w:szCs w:val="22"/>
        </w:rPr>
      </w:pPr>
      <w:r w:rsidRPr="00E94F7D">
        <w:rPr>
          <w:bCs/>
          <w:sz w:val="22"/>
          <w:szCs w:val="22"/>
        </w:rPr>
        <w:t>The contractor shall also use the project logo in addition to/ or the programme logo, indicated in the PIM – the official logo for the project and the partners shall be provided by the contracting authority.</w:t>
      </w:r>
    </w:p>
    <w:p w14:paraId="6F405091" w14:textId="77777777" w:rsidR="001050EE" w:rsidRPr="003D764D" w:rsidRDefault="001050EE" w:rsidP="00811C13">
      <w:pPr>
        <w:spacing w:before="240"/>
        <w:ind w:left="1276" w:hanging="1276"/>
        <w:jc w:val="both"/>
        <w:rPr>
          <w:b/>
          <w:szCs w:val="24"/>
        </w:rPr>
      </w:pPr>
      <w:bookmarkStart w:id="12" w:name="_Toc76894421"/>
      <w:r w:rsidRPr="003D764D">
        <w:rPr>
          <w:b/>
          <w:szCs w:val="24"/>
        </w:rPr>
        <w:t>Article 15</w:t>
      </w:r>
      <w:r w:rsidRPr="003D764D">
        <w:rPr>
          <w:b/>
          <w:szCs w:val="24"/>
        </w:rPr>
        <w:tab/>
        <w:t>Performance guarantee</w:t>
      </w:r>
      <w:bookmarkEnd w:id="12"/>
    </w:p>
    <w:p w14:paraId="115FB12E" w14:textId="22B5BA85"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CF543E">
        <w:rPr>
          <w:sz w:val="22"/>
          <w:szCs w:val="22"/>
        </w:rPr>
        <w:t>The performance guarantee shall be in the amount of 5 % of the contract price.</w:t>
      </w:r>
    </w:p>
    <w:p w14:paraId="1F1CF7C5" w14:textId="77777777" w:rsidR="001050EE" w:rsidRPr="00CA6498" w:rsidRDefault="001050EE" w:rsidP="00021EB3">
      <w:pPr>
        <w:spacing w:before="240"/>
        <w:ind w:left="1276" w:hanging="1276"/>
        <w:jc w:val="both"/>
        <w:rPr>
          <w:b/>
          <w:szCs w:val="24"/>
        </w:rPr>
      </w:pPr>
      <w:bookmarkStart w:id="13"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3"/>
    </w:p>
    <w:p w14:paraId="355A140A"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lastRenderedPageBreak/>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5BBF8472"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7848E557" w14:textId="77777777" w:rsidR="001050EE" w:rsidRPr="00021EB3" w:rsidRDefault="001050EE" w:rsidP="00021EB3">
      <w:pPr>
        <w:spacing w:before="240"/>
        <w:ind w:left="1276" w:hanging="1276"/>
        <w:jc w:val="both"/>
        <w:rPr>
          <w:b/>
          <w:szCs w:val="24"/>
        </w:rPr>
      </w:pPr>
      <w:bookmarkStart w:id="14" w:name="_Toc76894431"/>
      <w:r w:rsidRPr="00021EB3">
        <w:rPr>
          <w:b/>
          <w:szCs w:val="24"/>
        </w:rPr>
        <w:t>Article 34</w:t>
      </w:r>
      <w:r w:rsidRPr="00021EB3">
        <w:rPr>
          <w:b/>
          <w:szCs w:val="24"/>
        </w:rPr>
        <w:tab/>
        <w:t>Period of implementation of tasks</w:t>
      </w:r>
      <w:bookmarkEnd w:id="14"/>
    </w:p>
    <w:p w14:paraId="1F933CE8" w14:textId="55E98E29"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EF5CEE" w:rsidRPr="00EF5CEE">
        <w:rPr>
          <w:rFonts w:ascii="Times New Roman" w:hAnsi="Times New Roman"/>
          <w:b w:val="0"/>
          <w:bCs/>
          <w:sz w:val="22"/>
          <w:szCs w:val="22"/>
          <w:lang w:val="en-GB"/>
        </w:rPr>
        <w:t xml:space="preserve">The period of implementation of tasks shall be </w:t>
      </w:r>
      <w:bookmarkStart w:id="15" w:name="_Hlk74043338"/>
      <w:r w:rsidR="00EF5CEE">
        <w:rPr>
          <w:rFonts w:ascii="Times New Roman" w:hAnsi="Times New Roman"/>
          <w:b w:val="0"/>
          <w:bCs/>
          <w:sz w:val="22"/>
          <w:szCs w:val="22"/>
          <w:lang w:val="en-GB"/>
        </w:rPr>
        <w:t xml:space="preserve">270 (two hundred and seventy) calendar days calculated from </w:t>
      </w:r>
      <w:r w:rsidR="00EF5CEE" w:rsidRPr="00EF5CEE">
        <w:rPr>
          <w:rFonts w:ascii="Times New Roman" w:hAnsi="Times New Roman"/>
          <w:b w:val="0"/>
          <w:bCs/>
          <w:sz w:val="22"/>
          <w:szCs w:val="22"/>
          <w:lang w:val="en-GB"/>
        </w:rPr>
        <w:t>the date</w:t>
      </w:r>
      <w:r w:rsidR="009D5EB6">
        <w:rPr>
          <w:rFonts w:ascii="Times New Roman" w:hAnsi="Times New Roman"/>
          <w:b w:val="0"/>
          <w:bCs/>
          <w:sz w:val="22"/>
          <w:szCs w:val="22"/>
          <w:lang w:val="en-GB"/>
        </w:rPr>
        <w:t>, notified in accordance with Article 33</w:t>
      </w:r>
      <w:r w:rsidR="00EF5CEE" w:rsidRPr="00EF5CEE">
        <w:rPr>
          <w:rFonts w:ascii="Times New Roman" w:hAnsi="Times New Roman"/>
          <w:b w:val="0"/>
          <w:bCs/>
          <w:sz w:val="22"/>
          <w:szCs w:val="22"/>
          <w:lang w:val="en-GB"/>
        </w:rPr>
        <w:t>, without prejudice to extensions of the period which may be granted under Article 35</w:t>
      </w:r>
      <w:bookmarkEnd w:id="15"/>
      <w:r w:rsidR="00EF5CEE" w:rsidRPr="00EF5CEE">
        <w:rPr>
          <w:rFonts w:ascii="Times New Roman" w:hAnsi="Times New Roman"/>
          <w:b w:val="0"/>
          <w:bCs/>
          <w:sz w:val="22"/>
          <w:szCs w:val="22"/>
          <w:lang w:val="en-GB"/>
        </w:rPr>
        <w:t>.</w:t>
      </w:r>
    </w:p>
    <w:p w14:paraId="6E946553" w14:textId="77777777" w:rsidR="001050EE" w:rsidRPr="00021EB3" w:rsidRDefault="001050EE" w:rsidP="00021EB3">
      <w:pPr>
        <w:spacing w:before="240"/>
        <w:ind w:left="1276" w:hanging="1276"/>
        <w:jc w:val="both"/>
        <w:rPr>
          <w:b/>
          <w:szCs w:val="24"/>
        </w:rPr>
      </w:pPr>
      <w:bookmarkStart w:id="16"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6"/>
    </w:p>
    <w:p w14:paraId="4E000136"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713B495C" w14:textId="77777777" w:rsidR="001050EE" w:rsidRPr="00116CA6" w:rsidRDefault="001050EE" w:rsidP="00116CA6">
      <w:pPr>
        <w:spacing w:before="240"/>
        <w:ind w:left="1276" w:hanging="1276"/>
        <w:jc w:val="both"/>
        <w:rPr>
          <w:b/>
          <w:szCs w:val="24"/>
        </w:rPr>
      </w:pPr>
      <w:bookmarkStart w:id="17" w:name="_Toc76894434"/>
      <w:r w:rsidRPr="00116CA6">
        <w:rPr>
          <w:b/>
          <w:szCs w:val="24"/>
        </w:rPr>
        <w:t>Article 39</w:t>
      </w:r>
      <w:r w:rsidRPr="00116CA6">
        <w:rPr>
          <w:b/>
          <w:szCs w:val="24"/>
        </w:rPr>
        <w:tab/>
        <w:t>Work register</w:t>
      </w:r>
      <w:bookmarkEnd w:id="17"/>
    </w:p>
    <w:p w14:paraId="0A7A38F9" w14:textId="171D1478"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EF5CEE" w:rsidRPr="00EF5CEE">
        <w:rPr>
          <w:bCs/>
          <w:sz w:val="22"/>
          <w:szCs w:val="22"/>
        </w:rPr>
        <w:t>A work register shall</w:t>
      </w:r>
      <w:r w:rsidR="00EF5CEE">
        <w:rPr>
          <w:bCs/>
          <w:sz w:val="22"/>
          <w:szCs w:val="22"/>
        </w:rPr>
        <w:t xml:space="preserve"> </w:t>
      </w:r>
      <w:r w:rsidR="00EF5CEE" w:rsidRPr="00EF5CEE">
        <w:rPr>
          <w:bCs/>
          <w:sz w:val="22"/>
          <w:szCs w:val="22"/>
        </w:rPr>
        <w:t>be kept</w:t>
      </w:r>
      <w:r w:rsidR="00EF5CEE">
        <w:rPr>
          <w:bCs/>
          <w:sz w:val="22"/>
          <w:szCs w:val="22"/>
        </w:rPr>
        <w:t xml:space="preserve"> and maintained</w:t>
      </w:r>
      <w:r w:rsidR="00EF5CEE" w:rsidRPr="00EF5CEE">
        <w:rPr>
          <w:bCs/>
          <w:sz w:val="22"/>
          <w:szCs w:val="22"/>
        </w:rPr>
        <w:t xml:space="preserve"> on the site by the </w:t>
      </w:r>
      <w:r w:rsidR="00EF5CEE">
        <w:rPr>
          <w:bCs/>
          <w:sz w:val="22"/>
          <w:szCs w:val="22"/>
        </w:rPr>
        <w:t>contractor in accordance with the requirements of applicable law.</w:t>
      </w:r>
    </w:p>
    <w:p w14:paraId="0DE86753" w14:textId="1BE3CE15"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2C14B2">
        <w:rPr>
          <w:sz w:val="22"/>
          <w:szCs w:val="22"/>
        </w:rPr>
        <w:t xml:space="preserve">Delete </w:t>
      </w:r>
      <w:r w:rsidR="009D5EB6">
        <w:rPr>
          <w:sz w:val="22"/>
          <w:szCs w:val="22"/>
        </w:rPr>
        <w:t>Article</w:t>
      </w:r>
      <w:r w:rsidR="002C14B2">
        <w:rPr>
          <w:sz w:val="22"/>
          <w:szCs w:val="22"/>
        </w:rPr>
        <w:t xml:space="preserve"> 39.2 of the general conditions.</w:t>
      </w:r>
    </w:p>
    <w:p w14:paraId="27D09DD7" w14:textId="77777777" w:rsidR="001050EE" w:rsidRPr="00116CA6" w:rsidRDefault="001050EE" w:rsidP="00A12DBD">
      <w:pPr>
        <w:spacing w:before="240"/>
        <w:ind w:left="1276" w:hanging="1276"/>
        <w:jc w:val="both"/>
        <w:rPr>
          <w:b/>
          <w:szCs w:val="24"/>
        </w:rPr>
      </w:pPr>
      <w:bookmarkStart w:id="18" w:name="_Toc76894435"/>
      <w:r w:rsidRPr="00116CA6">
        <w:rPr>
          <w:b/>
          <w:szCs w:val="24"/>
        </w:rPr>
        <w:t>Article 40</w:t>
      </w:r>
      <w:r w:rsidRPr="00116CA6">
        <w:rPr>
          <w:b/>
          <w:szCs w:val="24"/>
        </w:rPr>
        <w:tab/>
        <w:t>Origin and quality of works and materials</w:t>
      </w:r>
      <w:bookmarkEnd w:id="18"/>
    </w:p>
    <w:p w14:paraId="022D2554"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18FDAF01" w14:textId="327D43D0" w:rsidR="001050EE" w:rsidRPr="00E725FE" w:rsidRDefault="00F406C7" w:rsidP="00A12DBD">
      <w:pPr>
        <w:ind w:left="1701" w:hanging="425"/>
        <w:jc w:val="both"/>
        <w:rPr>
          <w:sz w:val="22"/>
          <w:szCs w:val="22"/>
        </w:rPr>
      </w:pPr>
      <w:r>
        <w:rPr>
          <w:sz w:val="22"/>
          <w:szCs w:val="22"/>
        </w:rPr>
        <w:t>(a)</w:t>
      </w:r>
      <w:r>
        <w:rPr>
          <w:sz w:val="22"/>
          <w:szCs w:val="22"/>
        </w:rPr>
        <w:tab/>
        <w:t>the requirements of the Technical Specifications, exhibited in Volume 3 of the Tender Dossier;</w:t>
      </w:r>
    </w:p>
    <w:p w14:paraId="572F88A3" w14:textId="1D979961" w:rsidR="001050EE" w:rsidRDefault="00A12DBD" w:rsidP="00A12DBD">
      <w:pPr>
        <w:ind w:left="1701" w:hanging="425"/>
        <w:jc w:val="both"/>
        <w:rPr>
          <w:sz w:val="22"/>
          <w:szCs w:val="22"/>
        </w:rPr>
      </w:pPr>
      <w:bookmarkStart w:id="19" w:name="_Hlk74043663"/>
      <w:r>
        <w:rPr>
          <w:sz w:val="22"/>
          <w:szCs w:val="22"/>
        </w:rPr>
        <w:t>(</w:t>
      </w:r>
      <w:r w:rsidR="00F406C7">
        <w:rPr>
          <w:sz w:val="22"/>
          <w:szCs w:val="22"/>
        </w:rPr>
        <w:t>b</w:t>
      </w:r>
      <w:r>
        <w:rPr>
          <w:sz w:val="22"/>
          <w:szCs w:val="22"/>
        </w:rPr>
        <w:t>)</w:t>
      </w:r>
      <w:r>
        <w:rPr>
          <w:sz w:val="22"/>
          <w:szCs w:val="22"/>
        </w:rPr>
        <w:tab/>
      </w:r>
      <w:r w:rsidR="001050EE" w:rsidRPr="00E725FE">
        <w:rPr>
          <w:sz w:val="22"/>
          <w:szCs w:val="22"/>
        </w:rPr>
        <w:t xml:space="preserve">the requirements of </w:t>
      </w:r>
      <w:r w:rsidR="00F406C7">
        <w:rPr>
          <w:sz w:val="22"/>
          <w:szCs w:val="22"/>
        </w:rPr>
        <w:t>the Design Documents</w:t>
      </w:r>
      <w:bookmarkEnd w:id="19"/>
      <w:r w:rsidR="00F406C7">
        <w:rPr>
          <w:sz w:val="22"/>
          <w:szCs w:val="22"/>
        </w:rPr>
        <w:t xml:space="preserve">, </w:t>
      </w:r>
      <w:r w:rsidR="00F406C7" w:rsidRPr="00F406C7">
        <w:rPr>
          <w:sz w:val="22"/>
          <w:szCs w:val="22"/>
        </w:rPr>
        <w:t>exhibited in Volume 3 of the Tender Dossier</w:t>
      </w:r>
      <w:r w:rsidR="00F406C7">
        <w:rPr>
          <w:sz w:val="22"/>
          <w:szCs w:val="22"/>
        </w:rPr>
        <w:t>;</w:t>
      </w:r>
    </w:p>
    <w:p w14:paraId="5BE3D921" w14:textId="0FEFC389" w:rsidR="00F406C7" w:rsidRPr="00E725FE" w:rsidRDefault="00F406C7" w:rsidP="00A12DBD">
      <w:pPr>
        <w:ind w:left="1701" w:hanging="425"/>
        <w:jc w:val="both"/>
        <w:rPr>
          <w:sz w:val="22"/>
          <w:szCs w:val="22"/>
        </w:rPr>
      </w:pPr>
      <w:r>
        <w:rPr>
          <w:sz w:val="22"/>
          <w:szCs w:val="22"/>
        </w:rPr>
        <w:t>(c)</w:t>
      </w:r>
      <w:r>
        <w:rPr>
          <w:sz w:val="22"/>
          <w:szCs w:val="22"/>
        </w:rPr>
        <w:tab/>
      </w:r>
      <w:r w:rsidRPr="00E725FE">
        <w:rPr>
          <w:sz w:val="22"/>
          <w:szCs w:val="22"/>
        </w:rPr>
        <w:t xml:space="preserve">the requirements of </w:t>
      </w:r>
      <w:r>
        <w:rPr>
          <w:sz w:val="22"/>
          <w:szCs w:val="22"/>
        </w:rPr>
        <w:t>applicable law.</w:t>
      </w:r>
    </w:p>
    <w:p w14:paraId="5599CCCD" w14:textId="68A06531"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F406C7" w:rsidRPr="00F406C7">
        <w:rPr>
          <w:sz w:val="22"/>
          <w:szCs w:val="22"/>
        </w:rPr>
        <w:t>No</w:t>
      </w:r>
      <w:r w:rsidRPr="00F406C7">
        <w:rPr>
          <w:sz w:val="22"/>
          <w:szCs w:val="22"/>
        </w:rPr>
        <w:t xml:space="preserve"> preliminary technical acceptance is necessary.</w:t>
      </w:r>
    </w:p>
    <w:p w14:paraId="0852AA6B" w14:textId="77777777"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66608B75"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20D2F760"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5868D89E" w14:textId="68B86943"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2C14B2">
        <w:rPr>
          <w:sz w:val="22"/>
          <w:szCs w:val="22"/>
        </w:rPr>
        <w:t>euro.</w:t>
      </w:r>
    </w:p>
    <w:p w14:paraId="7B14A554" w14:textId="44589CFF" w:rsidR="00CE1910" w:rsidRDefault="00B47A2A" w:rsidP="002C14B2">
      <w:pPr>
        <w:spacing w:before="120" w:after="120"/>
        <w:ind w:left="1276" w:hanging="709"/>
        <w:jc w:val="both"/>
        <w:rPr>
          <w:sz w:val="22"/>
          <w:szCs w:val="22"/>
        </w:rPr>
      </w:pPr>
      <w:r w:rsidRPr="00A12DBD">
        <w:rPr>
          <w:sz w:val="22"/>
          <w:szCs w:val="22"/>
        </w:rPr>
        <w:t>44.3</w:t>
      </w:r>
      <w:r w:rsidRPr="00A12DBD">
        <w:rPr>
          <w:sz w:val="22"/>
          <w:szCs w:val="22"/>
        </w:rPr>
        <w:tab/>
      </w:r>
      <w:r w:rsidRPr="002C14B2">
        <w:rPr>
          <w:sz w:val="22"/>
          <w:szCs w:val="22"/>
        </w:rPr>
        <w:t xml:space="preserve">By derogation, pre-financing payment to the </w:t>
      </w:r>
      <w:r w:rsidR="00E806A3" w:rsidRPr="002C14B2">
        <w:rPr>
          <w:sz w:val="22"/>
          <w:szCs w:val="22"/>
        </w:rPr>
        <w:t>c</w:t>
      </w:r>
      <w:r w:rsidRPr="002C14B2">
        <w:rPr>
          <w:sz w:val="22"/>
          <w:szCs w:val="22"/>
        </w:rPr>
        <w:t xml:space="preserve">ontractor for the lump-sum advance shall be made within 30 days. Other pre-financing payments to the </w:t>
      </w:r>
      <w:r w:rsidR="00E806A3" w:rsidRPr="002C14B2">
        <w:rPr>
          <w:sz w:val="22"/>
          <w:szCs w:val="22"/>
        </w:rPr>
        <w:t>c</w:t>
      </w:r>
      <w:r w:rsidRPr="002C14B2">
        <w:rPr>
          <w:sz w:val="22"/>
          <w:szCs w:val="22"/>
        </w:rPr>
        <w:t xml:space="preserve">ontractor shall be made within 60 days. Interim payments to the </w:t>
      </w:r>
      <w:r w:rsidR="00E806A3" w:rsidRPr="002C14B2">
        <w:rPr>
          <w:sz w:val="22"/>
          <w:szCs w:val="22"/>
        </w:rPr>
        <w:t>c</w:t>
      </w:r>
      <w:r w:rsidRPr="002C14B2">
        <w:rPr>
          <w:sz w:val="22"/>
          <w:szCs w:val="22"/>
        </w:rPr>
        <w:t xml:space="preserve">ontractor of the amounts due under each of the interim payment certificates approved by the supervisor shall be made within </w:t>
      </w:r>
      <w:r w:rsidR="0042065C" w:rsidRPr="002C14B2">
        <w:rPr>
          <w:sz w:val="22"/>
          <w:szCs w:val="22"/>
        </w:rPr>
        <w:t>6</w:t>
      </w:r>
      <w:r w:rsidRPr="002C14B2">
        <w:rPr>
          <w:sz w:val="22"/>
          <w:szCs w:val="22"/>
        </w:rPr>
        <w:t xml:space="preserve">0 days, and the final payment to the </w:t>
      </w:r>
      <w:r w:rsidR="00E806A3" w:rsidRPr="002C14B2">
        <w:rPr>
          <w:sz w:val="22"/>
          <w:szCs w:val="22"/>
        </w:rPr>
        <w:t>c</w:t>
      </w:r>
      <w:r w:rsidRPr="002C14B2">
        <w:rPr>
          <w:sz w:val="22"/>
          <w:szCs w:val="22"/>
        </w:rPr>
        <w:t xml:space="preserve">ontractor of the amounts due after the final statement of account issued by the </w:t>
      </w:r>
      <w:r w:rsidR="00E806A3" w:rsidRPr="002C14B2">
        <w:rPr>
          <w:sz w:val="22"/>
          <w:szCs w:val="22"/>
        </w:rPr>
        <w:t>s</w:t>
      </w:r>
      <w:r w:rsidRPr="002C14B2">
        <w:rPr>
          <w:sz w:val="22"/>
          <w:szCs w:val="22"/>
        </w:rPr>
        <w:t>upervisor shall be made within 60 days</w:t>
      </w:r>
      <w:r w:rsidR="002C14B2" w:rsidRPr="002C14B2">
        <w:rPr>
          <w:sz w:val="22"/>
          <w:szCs w:val="22"/>
        </w:rPr>
        <w:t>.</w:t>
      </w:r>
    </w:p>
    <w:p w14:paraId="1D9D3323"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32BF8029"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77A47271" w14:textId="77777777" w:rsidR="00714838" w:rsidRDefault="00A12DBD" w:rsidP="000C5CFF">
      <w:pPr>
        <w:spacing w:before="120" w:after="120"/>
        <w:ind w:left="1276" w:hanging="709"/>
        <w:jc w:val="both"/>
        <w:rPr>
          <w:sz w:val="22"/>
          <w:szCs w:val="22"/>
        </w:rPr>
      </w:pPr>
      <w:r w:rsidRPr="00CA6498">
        <w:rPr>
          <w:sz w:val="22"/>
          <w:szCs w:val="22"/>
        </w:rPr>
        <w:lastRenderedPageBreak/>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011E0D5F" w14:textId="355AC5CB" w:rsidR="00832108" w:rsidRPr="00832108" w:rsidRDefault="001050EE" w:rsidP="00832108">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32108" w:rsidRPr="00832108">
        <w:rPr>
          <w:bCs/>
          <w:sz w:val="22"/>
          <w:szCs w:val="22"/>
        </w:rPr>
        <w:t xml:space="preserve">The </w:t>
      </w:r>
      <w:r w:rsidR="00832108">
        <w:rPr>
          <w:bCs/>
          <w:sz w:val="22"/>
          <w:szCs w:val="22"/>
        </w:rPr>
        <w:t>pre-financing</w:t>
      </w:r>
      <w:r w:rsidR="00832108" w:rsidRPr="00832108">
        <w:rPr>
          <w:bCs/>
          <w:sz w:val="22"/>
          <w:szCs w:val="22"/>
        </w:rPr>
        <w:t xml:space="preserve"> shall be repaid through </w:t>
      </w:r>
      <w:r w:rsidR="00832108">
        <w:rPr>
          <w:bCs/>
          <w:sz w:val="22"/>
          <w:szCs w:val="22"/>
        </w:rPr>
        <w:t xml:space="preserve">20 % </w:t>
      </w:r>
      <w:r w:rsidR="00832108" w:rsidRPr="00832108">
        <w:rPr>
          <w:bCs/>
          <w:sz w:val="22"/>
          <w:szCs w:val="22"/>
        </w:rPr>
        <w:t xml:space="preserve">percentage deductions in </w:t>
      </w:r>
      <w:r w:rsidR="00832108">
        <w:rPr>
          <w:bCs/>
          <w:sz w:val="22"/>
          <w:szCs w:val="22"/>
        </w:rPr>
        <w:t>Interim Payment Certificates.</w:t>
      </w:r>
    </w:p>
    <w:p w14:paraId="6FA32551"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60DB86B1" w14:textId="3BA08D5F"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 xml:space="preserve">s obligations during the defects liability period </w:t>
      </w:r>
      <w:r w:rsidR="00F406C7">
        <w:rPr>
          <w:sz w:val="22"/>
          <w:szCs w:val="22"/>
        </w:rPr>
        <w:t>shall be</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w:t>
      </w:r>
    </w:p>
    <w:p w14:paraId="68F00C7D"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5C1C0EEB"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3B7542B6"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1C8D04D4"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68FF0225"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8487"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5"/>
        <w:gridCol w:w="2476"/>
        <w:gridCol w:w="3890"/>
      </w:tblGrid>
      <w:tr w:rsidR="00A44D93" w:rsidRPr="00CA6498" w14:paraId="3E1EF59D" w14:textId="77777777" w:rsidTr="00551B9C">
        <w:tc>
          <w:tcPr>
            <w:tcW w:w="846" w:type="dxa"/>
            <w:shd w:val="clear" w:color="auto" w:fill="auto"/>
          </w:tcPr>
          <w:p w14:paraId="1A022A13" w14:textId="77777777" w:rsidR="00A44D93" w:rsidRPr="00CA6498" w:rsidRDefault="00A44D93" w:rsidP="005967FA">
            <w:pPr>
              <w:spacing w:before="120" w:after="120"/>
              <w:jc w:val="center"/>
              <w:rPr>
                <w:b/>
                <w:sz w:val="22"/>
                <w:szCs w:val="22"/>
              </w:rPr>
            </w:pPr>
          </w:p>
        </w:tc>
        <w:tc>
          <w:tcPr>
            <w:tcW w:w="1275" w:type="dxa"/>
            <w:shd w:val="clear" w:color="auto" w:fill="auto"/>
          </w:tcPr>
          <w:p w14:paraId="6014CC34" w14:textId="77777777" w:rsidR="00A44D93" w:rsidRPr="00CA6498" w:rsidRDefault="00A44D93" w:rsidP="005967FA">
            <w:pPr>
              <w:spacing w:before="120" w:after="120"/>
              <w:jc w:val="center"/>
              <w:rPr>
                <w:b/>
                <w:sz w:val="22"/>
                <w:szCs w:val="22"/>
              </w:rPr>
            </w:pPr>
            <w:r w:rsidRPr="00CA6498">
              <w:rPr>
                <w:b/>
                <w:sz w:val="22"/>
                <w:szCs w:val="22"/>
              </w:rPr>
              <w:t>Percentage</w:t>
            </w:r>
          </w:p>
        </w:tc>
        <w:tc>
          <w:tcPr>
            <w:tcW w:w="2476" w:type="dxa"/>
            <w:shd w:val="clear" w:color="auto" w:fill="auto"/>
          </w:tcPr>
          <w:p w14:paraId="18EAD4AA"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03ED3535" w14:textId="77777777"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14:paraId="25755F4B" w14:textId="77777777" w:rsidTr="00551B9C">
        <w:tc>
          <w:tcPr>
            <w:tcW w:w="846" w:type="dxa"/>
            <w:shd w:val="clear" w:color="auto" w:fill="auto"/>
          </w:tcPr>
          <w:p w14:paraId="44C16D30" w14:textId="77777777" w:rsidR="00A44D93" w:rsidRPr="00CA6498" w:rsidRDefault="00A44D93" w:rsidP="005967FA">
            <w:pPr>
              <w:spacing w:before="120" w:after="120"/>
              <w:jc w:val="both"/>
              <w:rPr>
                <w:sz w:val="22"/>
                <w:szCs w:val="22"/>
              </w:rPr>
            </w:pPr>
            <w:r w:rsidRPr="00CA6498">
              <w:rPr>
                <w:sz w:val="22"/>
                <w:szCs w:val="22"/>
              </w:rPr>
              <w:t>1.</w:t>
            </w:r>
          </w:p>
        </w:tc>
        <w:tc>
          <w:tcPr>
            <w:tcW w:w="1275" w:type="dxa"/>
            <w:shd w:val="clear" w:color="auto" w:fill="auto"/>
          </w:tcPr>
          <w:p w14:paraId="4B86AC85" w14:textId="77777777" w:rsidR="00A44D93" w:rsidRPr="00CA6498" w:rsidRDefault="00215FF5" w:rsidP="005967FA">
            <w:pPr>
              <w:spacing w:before="120" w:after="120"/>
              <w:jc w:val="right"/>
              <w:rPr>
                <w:sz w:val="22"/>
                <w:szCs w:val="22"/>
              </w:rPr>
            </w:pPr>
            <w:r w:rsidRPr="00CA6498">
              <w:rPr>
                <w:sz w:val="22"/>
                <w:szCs w:val="22"/>
              </w:rPr>
              <w:t>2</w:t>
            </w:r>
            <w:r w:rsidR="00A44D93" w:rsidRPr="00CA6498">
              <w:rPr>
                <w:sz w:val="22"/>
                <w:szCs w:val="22"/>
              </w:rPr>
              <w:t>0%</w:t>
            </w:r>
          </w:p>
        </w:tc>
        <w:tc>
          <w:tcPr>
            <w:tcW w:w="2476" w:type="dxa"/>
            <w:shd w:val="clear" w:color="auto" w:fill="auto"/>
          </w:tcPr>
          <w:p w14:paraId="08953B3E" w14:textId="2F298551" w:rsidR="00A44D93" w:rsidRPr="00CA6498" w:rsidRDefault="00A44D93" w:rsidP="005967FA">
            <w:pPr>
              <w:spacing w:before="120" w:after="120"/>
              <w:jc w:val="both"/>
              <w:rPr>
                <w:sz w:val="22"/>
                <w:szCs w:val="22"/>
              </w:rPr>
            </w:pPr>
            <w:r w:rsidRPr="00CA6498">
              <w:rPr>
                <w:sz w:val="22"/>
                <w:szCs w:val="22"/>
              </w:rPr>
              <w:t xml:space="preserve">Lump-sum advance </w:t>
            </w:r>
            <w:r w:rsidR="00E24A94">
              <w:rPr>
                <w:sz w:val="22"/>
                <w:szCs w:val="22"/>
              </w:rPr>
              <w:t xml:space="preserve">under </w:t>
            </w:r>
            <w:r w:rsidRPr="00CA6498">
              <w:rPr>
                <w:sz w:val="22"/>
                <w:szCs w:val="22"/>
              </w:rPr>
              <w:t>Article 46.1(a)</w:t>
            </w:r>
          </w:p>
        </w:tc>
        <w:tc>
          <w:tcPr>
            <w:tcW w:w="3890" w:type="dxa"/>
            <w:shd w:val="clear" w:color="auto" w:fill="auto"/>
          </w:tcPr>
          <w:p w14:paraId="600E7397" w14:textId="77777777" w:rsidR="00A44D93" w:rsidRPr="00CA6498" w:rsidRDefault="00852024" w:rsidP="005967FA">
            <w:pPr>
              <w:spacing w:before="120" w:after="120"/>
              <w:jc w:val="both"/>
              <w:rPr>
                <w:sz w:val="22"/>
                <w:szCs w:val="22"/>
              </w:rPr>
            </w:pPr>
            <w:r w:rsidRPr="00CA6498">
              <w:rPr>
                <w:sz w:val="22"/>
                <w:szCs w:val="22"/>
              </w:rPr>
              <w:t>A</w:t>
            </w:r>
            <w:r w:rsidR="00A44D93" w:rsidRPr="00CA6498">
              <w:rPr>
                <w:sz w:val="22"/>
                <w:szCs w:val="22"/>
              </w:rPr>
              <w:t xml:space="preserve">fter </w:t>
            </w:r>
            <w:r w:rsidRPr="00CA6498">
              <w:rPr>
                <w:sz w:val="22"/>
                <w:szCs w:val="22"/>
              </w:rPr>
              <w:t>c</w:t>
            </w:r>
            <w:r w:rsidR="00A44D93" w:rsidRPr="00CA6498">
              <w:rPr>
                <w:sz w:val="22"/>
                <w:szCs w:val="22"/>
              </w:rPr>
              <w:t>onclusion of the contract</w:t>
            </w:r>
          </w:p>
        </w:tc>
      </w:tr>
      <w:tr w:rsidR="00A44D93" w:rsidRPr="005967FA" w14:paraId="4B509FD6" w14:textId="77777777" w:rsidTr="00551B9C">
        <w:tc>
          <w:tcPr>
            <w:tcW w:w="846" w:type="dxa"/>
            <w:shd w:val="clear" w:color="auto" w:fill="auto"/>
          </w:tcPr>
          <w:p w14:paraId="22D58841" w14:textId="77777777"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5" w:type="dxa"/>
            <w:shd w:val="clear" w:color="auto" w:fill="auto"/>
          </w:tcPr>
          <w:p w14:paraId="74D8EE71" w14:textId="716197E5" w:rsidR="00A44D93" w:rsidRPr="00CA6498" w:rsidRDefault="00E24A94" w:rsidP="005967FA">
            <w:pPr>
              <w:spacing w:before="120" w:after="120"/>
              <w:jc w:val="right"/>
              <w:rPr>
                <w:sz w:val="22"/>
                <w:szCs w:val="22"/>
              </w:rPr>
            </w:pPr>
            <w:r>
              <w:rPr>
                <w:sz w:val="22"/>
                <w:szCs w:val="22"/>
              </w:rPr>
              <w:t>10</w:t>
            </w:r>
            <w:r w:rsidR="00832108">
              <w:rPr>
                <w:sz w:val="22"/>
                <w:szCs w:val="22"/>
              </w:rPr>
              <w:t xml:space="preserve"> </w:t>
            </w:r>
            <w:r w:rsidR="00A44D93" w:rsidRPr="00CA6498">
              <w:rPr>
                <w:sz w:val="22"/>
                <w:szCs w:val="22"/>
              </w:rPr>
              <w:t>%</w:t>
            </w:r>
          </w:p>
        </w:tc>
        <w:tc>
          <w:tcPr>
            <w:tcW w:w="2476" w:type="dxa"/>
            <w:shd w:val="clear" w:color="auto" w:fill="auto"/>
          </w:tcPr>
          <w:p w14:paraId="4140542B" w14:textId="75B4C047" w:rsidR="00A44D93" w:rsidRPr="00CA6498" w:rsidRDefault="00A44D93" w:rsidP="005967FA">
            <w:pPr>
              <w:spacing w:before="120" w:after="120"/>
              <w:jc w:val="both"/>
              <w:rPr>
                <w:sz w:val="22"/>
                <w:szCs w:val="22"/>
              </w:rPr>
            </w:pPr>
            <w:r w:rsidRPr="00CA6498">
              <w:rPr>
                <w:sz w:val="22"/>
                <w:szCs w:val="22"/>
              </w:rPr>
              <w:t xml:space="preserve">Interim payment </w:t>
            </w:r>
            <w:r w:rsidR="00E24A94">
              <w:rPr>
                <w:sz w:val="22"/>
                <w:szCs w:val="22"/>
              </w:rPr>
              <w:t>under</w:t>
            </w:r>
            <w:r w:rsidRPr="00CA6498">
              <w:rPr>
                <w:sz w:val="22"/>
                <w:szCs w:val="22"/>
              </w:rPr>
              <w:t xml:space="preserve"> Article 50</w:t>
            </w:r>
          </w:p>
        </w:tc>
        <w:tc>
          <w:tcPr>
            <w:tcW w:w="3890" w:type="dxa"/>
            <w:shd w:val="clear" w:color="auto" w:fill="auto"/>
          </w:tcPr>
          <w:p w14:paraId="35F09AB6" w14:textId="3E1C5892" w:rsidR="00A44D93" w:rsidRDefault="00B77041" w:rsidP="005967FA">
            <w:pPr>
              <w:spacing w:before="120" w:after="120"/>
              <w:jc w:val="both"/>
              <w:rPr>
                <w:sz w:val="22"/>
                <w:szCs w:val="22"/>
              </w:rPr>
            </w:pPr>
            <w:r w:rsidRPr="00832108">
              <w:rPr>
                <w:sz w:val="22"/>
                <w:szCs w:val="22"/>
              </w:rPr>
              <w:t xml:space="preserve">After completion of </w:t>
            </w:r>
            <w:r w:rsidR="00E24A94">
              <w:rPr>
                <w:sz w:val="22"/>
                <w:szCs w:val="22"/>
              </w:rPr>
              <w:t>10</w:t>
            </w:r>
            <w:r w:rsidR="00832108" w:rsidRPr="00832108">
              <w:rPr>
                <w:sz w:val="22"/>
                <w:szCs w:val="22"/>
              </w:rPr>
              <w:t xml:space="preserve"> % of the </w:t>
            </w:r>
            <w:r w:rsidR="00832108">
              <w:rPr>
                <w:sz w:val="22"/>
                <w:szCs w:val="22"/>
              </w:rPr>
              <w:t xml:space="preserve">lump sum </w:t>
            </w:r>
            <w:r w:rsidR="00832108" w:rsidRPr="00832108">
              <w:rPr>
                <w:sz w:val="22"/>
                <w:szCs w:val="22"/>
              </w:rPr>
              <w:t>value of the Works</w:t>
            </w:r>
            <w:r w:rsidR="00E24A94">
              <w:rPr>
                <w:sz w:val="22"/>
                <w:szCs w:val="22"/>
              </w:rPr>
              <w:t xml:space="preserve"> (after retentions and other deductions)</w:t>
            </w:r>
            <w:r w:rsidR="007476BA" w:rsidRPr="00832108">
              <w:rPr>
                <w:sz w:val="22"/>
                <w:szCs w:val="22"/>
              </w:rPr>
              <w:t>.</w:t>
            </w:r>
            <w:r w:rsidR="00832108">
              <w:rPr>
                <w:sz w:val="22"/>
                <w:szCs w:val="22"/>
              </w:rPr>
              <w:t xml:space="preserve"> The following sums shall be deducted from the </w:t>
            </w:r>
            <w:r w:rsidR="00E24A94">
              <w:rPr>
                <w:sz w:val="22"/>
                <w:szCs w:val="22"/>
              </w:rPr>
              <w:t xml:space="preserve">gross </w:t>
            </w:r>
            <w:r w:rsidR="00832108">
              <w:rPr>
                <w:sz w:val="22"/>
                <w:szCs w:val="22"/>
              </w:rPr>
              <w:t>value of each of the Interim Payment Certificates:</w:t>
            </w:r>
          </w:p>
          <w:p w14:paraId="6752383E" w14:textId="76855CBA" w:rsidR="00832108" w:rsidRDefault="00832108" w:rsidP="00832108">
            <w:pPr>
              <w:pStyle w:val="ListParagraph"/>
              <w:numPr>
                <w:ilvl w:val="0"/>
                <w:numId w:val="12"/>
              </w:numPr>
              <w:spacing w:before="120" w:after="120"/>
              <w:jc w:val="both"/>
              <w:rPr>
                <w:sz w:val="22"/>
                <w:szCs w:val="22"/>
              </w:rPr>
            </w:pPr>
            <w:r>
              <w:rPr>
                <w:sz w:val="22"/>
                <w:szCs w:val="22"/>
              </w:rPr>
              <w:t>20 % prefinancing repayment;</w:t>
            </w:r>
          </w:p>
          <w:p w14:paraId="75433A20" w14:textId="5A6EC7CA" w:rsidR="00832108" w:rsidRPr="00832108" w:rsidRDefault="00832108" w:rsidP="00832108">
            <w:pPr>
              <w:pStyle w:val="ListParagraph"/>
              <w:numPr>
                <w:ilvl w:val="0"/>
                <w:numId w:val="12"/>
              </w:numPr>
              <w:spacing w:before="120" w:after="120"/>
              <w:jc w:val="both"/>
              <w:rPr>
                <w:sz w:val="22"/>
                <w:szCs w:val="22"/>
              </w:rPr>
            </w:pPr>
            <w:r>
              <w:rPr>
                <w:sz w:val="22"/>
                <w:szCs w:val="22"/>
              </w:rPr>
              <w:t xml:space="preserve">10 % retention money (unless substituted by a retention guarantee in accordance with </w:t>
            </w:r>
            <w:r w:rsidR="00E24A94">
              <w:rPr>
                <w:sz w:val="22"/>
                <w:szCs w:val="22"/>
              </w:rPr>
              <w:t>Article 47.2 of the general conditions)</w:t>
            </w:r>
          </w:p>
          <w:p w14:paraId="6A6BF987" w14:textId="52ED892A" w:rsidR="00B77041" w:rsidRPr="005967FA" w:rsidRDefault="00B77041" w:rsidP="00215FF5">
            <w:pPr>
              <w:spacing w:before="120" w:after="120"/>
              <w:jc w:val="both"/>
              <w:rPr>
                <w:sz w:val="22"/>
                <w:szCs w:val="22"/>
              </w:rPr>
            </w:pPr>
          </w:p>
        </w:tc>
      </w:tr>
      <w:tr w:rsidR="00E24A94" w:rsidRPr="005967FA" w14:paraId="7714551D" w14:textId="77777777" w:rsidTr="00551B9C">
        <w:tc>
          <w:tcPr>
            <w:tcW w:w="846" w:type="dxa"/>
            <w:shd w:val="clear" w:color="auto" w:fill="auto"/>
          </w:tcPr>
          <w:p w14:paraId="77384523" w14:textId="61C97F16" w:rsidR="00E24A94" w:rsidRDefault="00E24A94" w:rsidP="00E24A94">
            <w:pPr>
              <w:spacing w:before="120" w:after="120"/>
              <w:jc w:val="both"/>
              <w:rPr>
                <w:sz w:val="22"/>
                <w:szCs w:val="22"/>
              </w:rPr>
            </w:pPr>
            <w:r>
              <w:rPr>
                <w:sz w:val="22"/>
                <w:szCs w:val="22"/>
              </w:rPr>
              <w:t>3</w:t>
            </w:r>
            <w:r w:rsidRPr="00CA6498">
              <w:rPr>
                <w:sz w:val="22"/>
                <w:szCs w:val="22"/>
              </w:rPr>
              <w:t>.</w:t>
            </w:r>
          </w:p>
        </w:tc>
        <w:tc>
          <w:tcPr>
            <w:tcW w:w="1275" w:type="dxa"/>
            <w:shd w:val="clear" w:color="auto" w:fill="auto"/>
          </w:tcPr>
          <w:p w14:paraId="44C13B3D" w14:textId="17B26002" w:rsidR="00E24A94" w:rsidRDefault="00E24A94" w:rsidP="00E24A94">
            <w:pPr>
              <w:spacing w:before="120" w:after="120"/>
              <w:jc w:val="right"/>
              <w:rPr>
                <w:sz w:val="22"/>
                <w:szCs w:val="22"/>
              </w:rPr>
            </w:pPr>
            <w:r>
              <w:rPr>
                <w:sz w:val="22"/>
                <w:szCs w:val="22"/>
              </w:rPr>
              <w:t xml:space="preserve">10 </w:t>
            </w:r>
            <w:r w:rsidRPr="00CA6498">
              <w:rPr>
                <w:sz w:val="22"/>
                <w:szCs w:val="22"/>
              </w:rPr>
              <w:t>%</w:t>
            </w:r>
          </w:p>
        </w:tc>
        <w:tc>
          <w:tcPr>
            <w:tcW w:w="2476" w:type="dxa"/>
            <w:shd w:val="clear" w:color="auto" w:fill="auto"/>
          </w:tcPr>
          <w:p w14:paraId="440A5FD0" w14:textId="21DBB568" w:rsidR="00E24A94" w:rsidRPr="00CA6498" w:rsidRDefault="00E24A94" w:rsidP="00E24A94">
            <w:pPr>
              <w:spacing w:before="120" w:after="120"/>
              <w:jc w:val="both"/>
              <w:rPr>
                <w:sz w:val="22"/>
                <w:szCs w:val="22"/>
              </w:rPr>
            </w:pPr>
            <w:r w:rsidRPr="00CA6498">
              <w:rPr>
                <w:sz w:val="22"/>
                <w:szCs w:val="22"/>
              </w:rPr>
              <w:t>Interim payment of Article 50</w:t>
            </w:r>
          </w:p>
        </w:tc>
        <w:tc>
          <w:tcPr>
            <w:tcW w:w="3890" w:type="dxa"/>
            <w:shd w:val="clear" w:color="auto" w:fill="auto"/>
          </w:tcPr>
          <w:p w14:paraId="5D0A816F" w14:textId="04CB09E3" w:rsidR="00E24A94" w:rsidRPr="00CA6498" w:rsidRDefault="00E24A94" w:rsidP="00E24A94">
            <w:pPr>
              <w:spacing w:before="120" w:after="120"/>
              <w:jc w:val="both"/>
              <w:rPr>
                <w:sz w:val="22"/>
                <w:szCs w:val="22"/>
              </w:rPr>
            </w:pPr>
            <w:r w:rsidRPr="00CA6498">
              <w:rPr>
                <w:sz w:val="22"/>
                <w:szCs w:val="22"/>
              </w:rPr>
              <w:t>as above</w:t>
            </w:r>
          </w:p>
        </w:tc>
      </w:tr>
      <w:tr w:rsidR="00E24A94" w:rsidRPr="005967FA" w14:paraId="0BACFBAF" w14:textId="77777777" w:rsidTr="00551B9C">
        <w:tc>
          <w:tcPr>
            <w:tcW w:w="846" w:type="dxa"/>
            <w:shd w:val="clear" w:color="auto" w:fill="auto"/>
          </w:tcPr>
          <w:p w14:paraId="621238E9" w14:textId="53318AB1" w:rsidR="00E24A94" w:rsidRDefault="00E24A94" w:rsidP="00E24A94">
            <w:pPr>
              <w:spacing w:before="120" w:after="120"/>
              <w:jc w:val="both"/>
              <w:rPr>
                <w:sz w:val="22"/>
                <w:szCs w:val="22"/>
              </w:rPr>
            </w:pPr>
            <w:r>
              <w:rPr>
                <w:sz w:val="22"/>
                <w:szCs w:val="22"/>
              </w:rPr>
              <w:t>4</w:t>
            </w:r>
            <w:r w:rsidRPr="00CA6498">
              <w:rPr>
                <w:sz w:val="22"/>
                <w:szCs w:val="22"/>
              </w:rPr>
              <w:t>.</w:t>
            </w:r>
          </w:p>
        </w:tc>
        <w:tc>
          <w:tcPr>
            <w:tcW w:w="1275" w:type="dxa"/>
            <w:shd w:val="clear" w:color="auto" w:fill="auto"/>
          </w:tcPr>
          <w:p w14:paraId="701E3AC1" w14:textId="28946311" w:rsidR="00E24A94" w:rsidRDefault="00E24A94" w:rsidP="00E24A94">
            <w:pPr>
              <w:spacing w:before="120" w:after="120"/>
              <w:jc w:val="right"/>
              <w:rPr>
                <w:sz w:val="22"/>
                <w:szCs w:val="22"/>
              </w:rPr>
            </w:pPr>
            <w:r>
              <w:rPr>
                <w:sz w:val="22"/>
                <w:szCs w:val="22"/>
              </w:rPr>
              <w:t xml:space="preserve">10 </w:t>
            </w:r>
            <w:r w:rsidRPr="00CA6498">
              <w:rPr>
                <w:sz w:val="22"/>
                <w:szCs w:val="22"/>
              </w:rPr>
              <w:t>%</w:t>
            </w:r>
          </w:p>
        </w:tc>
        <w:tc>
          <w:tcPr>
            <w:tcW w:w="2476" w:type="dxa"/>
            <w:shd w:val="clear" w:color="auto" w:fill="auto"/>
          </w:tcPr>
          <w:p w14:paraId="52C0DE78" w14:textId="149C0219" w:rsidR="00E24A94" w:rsidRPr="00CA6498" w:rsidRDefault="00E24A94" w:rsidP="00E24A94">
            <w:pPr>
              <w:spacing w:before="120" w:after="120"/>
              <w:jc w:val="both"/>
              <w:rPr>
                <w:sz w:val="22"/>
                <w:szCs w:val="22"/>
              </w:rPr>
            </w:pPr>
            <w:r w:rsidRPr="00CA6498">
              <w:rPr>
                <w:sz w:val="22"/>
                <w:szCs w:val="22"/>
              </w:rPr>
              <w:t>Interim payment of Article 50</w:t>
            </w:r>
          </w:p>
        </w:tc>
        <w:tc>
          <w:tcPr>
            <w:tcW w:w="3890" w:type="dxa"/>
            <w:shd w:val="clear" w:color="auto" w:fill="auto"/>
          </w:tcPr>
          <w:p w14:paraId="4C239236" w14:textId="40093F4A" w:rsidR="00E24A94" w:rsidRPr="00CA6498" w:rsidRDefault="00E24A94" w:rsidP="00E24A94">
            <w:pPr>
              <w:spacing w:before="120" w:after="120"/>
              <w:jc w:val="both"/>
              <w:rPr>
                <w:sz w:val="22"/>
                <w:szCs w:val="22"/>
              </w:rPr>
            </w:pPr>
            <w:r w:rsidRPr="00CA6498">
              <w:rPr>
                <w:sz w:val="22"/>
                <w:szCs w:val="22"/>
              </w:rPr>
              <w:t>as above</w:t>
            </w:r>
          </w:p>
        </w:tc>
      </w:tr>
      <w:tr w:rsidR="00E24A94" w:rsidRPr="005967FA" w14:paraId="3B20B658" w14:textId="77777777" w:rsidTr="00551B9C">
        <w:tc>
          <w:tcPr>
            <w:tcW w:w="846" w:type="dxa"/>
            <w:shd w:val="clear" w:color="auto" w:fill="auto"/>
          </w:tcPr>
          <w:p w14:paraId="6CB7CC41" w14:textId="5482AEAF" w:rsidR="00E24A94" w:rsidRDefault="00E24A94" w:rsidP="00E24A94">
            <w:pPr>
              <w:spacing w:before="120" w:after="120"/>
              <w:jc w:val="both"/>
              <w:rPr>
                <w:sz w:val="22"/>
                <w:szCs w:val="22"/>
              </w:rPr>
            </w:pPr>
            <w:r>
              <w:rPr>
                <w:sz w:val="22"/>
                <w:szCs w:val="22"/>
              </w:rPr>
              <w:t>5</w:t>
            </w:r>
            <w:r w:rsidRPr="00CA6498">
              <w:rPr>
                <w:sz w:val="22"/>
                <w:szCs w:val="22"/>
              </w:rPr>
              <w:t>.</w:t>
            </w:r>
          </w:p>
        </w:tc>
        <w:tc>
          <w:tcPr>
            <w:tcW w:w="1275" w:type="dxa"/>
            <w:shd w:val="clear" w:color="auto" w:fill="auto"/>
          </w:tcPr>
          <w:p w14:paraId="6223BB78" w14:textId="58347D6A" w:rsidR="00E24A94" w:rsidRDefault="00E24A94" w:rsidP="00E24A94">
            <w:pPr>
              <w:spacing w:before="120" w:after="120"/>
              <w:jc w:val="right"/>
              <w:rPr>
                <w:sz w:val="22"/>
                <w:szCs w:val="22"/>
              </w:rPr>
            </w:pPr>
            <w:r>
              <w:rPr>
                <w:sz w:val="22"/>
                <w:szCs w:val="22"/>
              </w:rPr>
              <w:t xml:space="preserve">10 </w:t>
            </w:r>
            <w:r w:rsidRPr="00CA6498">
              <w:rPr>
                <w:sz w:val="22"/>
                <w:szCs w:val="22"/>
              </w:rPr>
              <w:t>%</w:t>
            </w:r>
          </w:p>
        </w:tc>
        <w:tc>
          <w:tcPr>
            <w:tcW w:w="2476" w:type="dxa"/>
            <w:shd w:val="clear" w:color="auto" w:fill="auto"/>
          </w:tcPr>
          <w:p w14:paraId="0FDBCD21" w14:textId="6F0D9F6C" w:rsidR="00E24A94" w:rsidRPr="00CA6498" w:rsidRDefault="00E24A94" w:rsidP="00E24A94">
            <w:pPr>
              <w:spacing w:before="120" w:after="120"/>
              <w:jc w:val="both"/>
              <w:rPr>
                <w:sz w:val="22"/>
                <w:szCs w:val="22"/>
              </w:rPr>
            </w:pPr>
            <w:r w:rsidRPr="00CA6498">
              <w:rPr>
                <w:sz w:val="22"/>
                <w:szCs w:val="22"/>
              </w:rPr>
              <w:t>Interim payment of Article 50</w:t>
            </w:r>
          </w:p>
        </w:tc>
        <w:tc>
          <w:tcPr>
            <w:tcW w:w="3890" w:type="dxa"/>
            <w:shd w:val="clear" w:color="auto" w:fill="auto"/>
          </w:tcPr>
          <w:p w14:paraId="7E5918FE" w14:textId="78A9DC8E" w:rsidR="00E24A94" w:rsidRPr="00CA6498" w:rsidRDefault="00E24A94" w:rsidP="00E24A94">
            <w:pPr>
              <w:spacing w:before="120" w:after="120"/>
              <w:jc w:val="both"/>
              <w:rPr>
                <w:sz w:val="22"/>
                <w:szCs w:val="22"/>
              </w:rPr>
            </w:pPr>
            <w:r w:rsidRPr="00CA6498">
              <w:rPr>
                <w:sz w:val="22"/>
                <w:szCs w:val="22"/>
              </w:rPr>
              <w:t>as above</w:t>
            </w:r>
          </w:p>
        </w:tc>
      </w:tr>
      <w:tr w:rsidR="00E24A94" w:rsidRPr="005967FA" w14:paraId="00D0BDF7" w14:textId="77777777" w:rsidTr="00551B9C">
        <w:tc>
          <w:tcPr>
            <w:tcW w:w="846" w:type="dxa"/>
            <w:shd w:val="clear" w:color="auto" w:fill="auto"/>
          </w:tcPr>
          <w:p w14:paraId="7100215C" w14:textId="68AD47CB" w:rsidR="00E24A94" w:rsidRDefault="00E24A94" w:rsidP="00E24A94">
            <w:pPr>
              <w:spacing w:before="120" w:after="120"/>
              <w:jc w:val="both"/>
              <w:rPr>
                <w:sz w:val="22"/>
                <w:szCs w:val="22"/>
              </w:rPr>
            </w:pPr>
            <w:r>
              <w:rPr>
                <w:sz w:val="22"/>
                <w:szCs w:val="22"/>
              </w:rPr>
              <w:t>6</w:t>
            </w:r>
            <w:r w:rsidRPr="00CA6498">
              <w:rPr>
                <w:sz w:val="22"/>
                <w:szCs w:val="22"/>
              </w:rPr>
              <w:t>.</w:t>
            </w:r>
          </w:p>
        </w:tc>
        <w:tc>
          <w:tcPr>
            <w:tcW w:w="1275" w:type="dxa"/>
            <w:shd w:val="clear" w:color="auto" w:fill="auto"/>
          </w:tcPr>
          <w:p w14:paraId="2D0CCCFF" w14:textId="0C8937C9" w:rsidR="00E24A94" w:rsidRDefault="00E24A94" w:rsidP="00E24A94">
            <w:pPr>
              <w:spacing w:before="120" w:after="120"/>
              <w:jc w:val="right"/>
              <w:rPr>
                <w:sz w:val="22"/>
                <w:szCs w:val="22"/>
              </w:rPr>
            </w:pPr>
            <w:r>
              <w:rPr>
                <w:sz w:val="22"/>
                <w:szCs w:val="22"/>
              </w:rPr>
              <w:t xml:space="preserve">10 </w:t>
            </w:r>
            <w:r w:rsidRPr="00CA6498">
              <w:rPr>
                <w:sz w:val="22"/>
                <w:szCs w:val="22"/>
              </w:rPr>
              <w:t>%</w:t>
            </w:r>
          </w:p>
        </w:tc>
        <w:tc>
          <w:tcPr>
            <w:tcW w:w="2476" w:type="dxa"/>
            <w:shd w:val="clear" w:color="auto" w:fill="auto"/>
          </w:tcPr>
          <w:p w14:paraId="5F210ECD" w14:textId="71C9A4EC" w:rsidR="00E24A94" w:rsidRPr="00CA6498" w:rsidRDefault="00E24A94" w:rsidP="00E24A94">
            <w:pPr>
              <w:spacing w:before="120" w:after="120"/>
              <w:jc w:val="both"/>
              <w:rPr>
                <w:sz w:val="22"/>
                <w:szCs w:val="22"/>
              </w:rPr>
            </w:pPr>
            <w:r w:rsidRPr="00CA6498">
              <w:rPr>
                <w:sz w:val="22"/>
                <w:szCs w:val="22"/>
              </w:rPr>
              <w:t>Interim payment of Article 50</w:t>
            </w:r>
          </w:p>
        </w:tc>
        <w:tc>
          <w:tcPr>
            <w:tcW w:w="3890" w:type="dxa"/>
            <w:shd w:val="clear" w:color="auto" w:fill="auto"/>
          </w:tcPr>
          <w:p w14:paraId="1241C935" w14:textId="5FC8D829" w:rsidR="00E24A94" w:rsidRPr="00CA6498" w:rsidRDefault="00E24A94" w:rsidP="00E24A94">
            <w:pPr>
              <w:spacing w:before="120" w:after="120"/>
              <w:jc w:val="both"/>
              <w:rPr>
                <w:sz w:val="22"/>
                <w:szCs w:val="22"/>
              </w:rPr>
            </w:pPr>
            <w:r w:rsidRPr="00CA6498">
              <w:rPr>
                <w:sz w:val="22"/>
                <w:szCs w:val="22"/>
              </w:rPr>
              <w:t>as above</w:t>
            </w:r>
          </w:p>
        </w:tc>
      </w:tr>
      <w:tr w:rsidR="00E24A94" w:rsidRPr="005967FA" w14:paraId="0F63DA79" w14:textId="77777777" w:rsidTr="00551B9C">
        <w:tc>
          <w:tcPr>
            <w:tcW w:w="846" w:type="dxa"/>
            <w:shd w:val="clear" w:color="auto" w:fill="auto"/>
          </w:tcPr>
          <w:p w14:paraId="6F10AEE1" w14:textId="7DE44CE6" w:rsidR="00E24A94" w:rsidRPr="00CA6498" w:rsidRDefault="00E24A94" w:rsidP="00E24A94">
            <w:pPr>
              <w:spacing w:before="120" w:after="120"/>
              <w:jc w:val="both"/>
              <w:rPr>
                <w:sz w:val="22"/>
                <w:szCs w:val="22"/>
              </w:rPr>
            </w:pPr>
            <w:bookmarkStart w:id="25" w:name="_Hlk74044938"/>
            <w:r>
              <w:rPr>
                <w:sz w:val="22"/>
                <w:szCs w:val="22"/>
              </w:rPr>
              <w:t>7</w:t>
            </w:r>
            <w:r w:rsidRPr="00CA6498">
              <w:rPr>
                <w:sz w:val="22"/>
                <w:szCs w:val="22"/>
              </w:rPr>
              <w:t>.</w:t>
            </w:r>
          </w:p>
        </w:tc>
        <w:tc>
          <w:tcPr>
            <w:tcW w:w="1275" w:type="dxa"/>
            <w:shd w:val="clear" w:color="auto" w:fill="auto"/>
          </w:tcPr>
          <w:p w14:paraId="6E11DB48" w14:textId="47444B78" w:rsidR="00E24A94" w:rsidRPr="00CA6498" w:rsidRDefault="00E24A94" w:rsidP="00E24A94">
            <w:pPr>
              <w:spacing w:before="120" w:after="120"/>
              <w:jc w:val="right"/>
              <w:rPr>
                <w:sz w:val="22"/>
                <w:szCs w:val="22"/>
              </w:rPr>
            </w:pPr>
            <w:r>
              <w:rPr>
                <w:sz w:val="22"/>
                <w:szCs w:val="22"/>
              </w:rPr>
              <w:t xml:space="preserve">10 </w:t>
            </w:r>
            <w:r w:rsidRPr="00CA6498">
              <w:rPr>
                <w:sz w:val="22"/>
                <w:szCs w:val="22"/>
              </w:rPr>
              <w:t>%</w:t>
            </w:r>
          </w:p>
        </w:tc>
        <w:tc>
          <w:tcPr>
            <w:tcW w:w="2476" w:type="dxa"/>
            <w:shd w:val="clear" w:color="auto" w:fill="auto"/>
          </w:tcPr>
          <w:p w14:paraId="3E164893" w14:textId="77777777" w:rsidR="00E24A94" w:rsidRPr="00CA6498" w:rsidRDefault="00E24A94" w:rsidP="00E24A94">
            <w:pPr>
              <w:spacing w:before="120" w:after="120"/>
              <w:jc w:val="both"/>
              <w:rPr>
                <w:sz w:val="22"/>
                <w:szCs w:val="22"/>
              </w:rPr>
            </w:pPr>
            <w:r w:rsidRPr="00CA6498">
              <w:rPr>
                <w:sz w:val="22"/>
                <w:szCs w:val="22"/>
              </w:rPr>
              <w:t>Interim payment of Article 50</w:t>
            </w:r>
          </w:p>
        </w:tc>
        <w:tc>
          <w:tcPr>
            <w:tcW w:w="3890" w:type="dxa"/>
            <w:shd w:val="clear" w:color="auto" w:fill="auto"/>
          </w:tcPr>
          <w:p w14:paraId="77EB0D22" w14:textId="1A659FB3" w:rsidR="00E24A94" w:rsidRPr="00CA6498" w:rsidRDefault="00E24A94" w:rsidP="00E24A94">
            <w:pPr>
              <w:spacing w:before="120" w:after="120"/>
              <w:jc w:val="both"/>
              <w:rPr>
                <w:sz w:val="22"/>
                <w:szCs w:val="22"/>
              </w:rPr>
            </w:pPr>
            <w:r w:rsidRPr="00CA6498">
              <w:rPr>
                <w:sz w:val="22"/>
                <w:szCs w:val="22"/>
              </w:rPr>
              <w:t>as above</w:t>
            </w:r>
          </w:p>
        </w:tc>
      </w:tr>
      <w:bookmarkEnd w:id="25"/>
      <w:tr w:rsidR="00551B9C" w:rsidRPr="005967FA" w14:paraId="1BFAE5F1" w14:textId="77777777" w:rsidTr="00551B9C">
        <w:tc>
          <w:tcPr>
            <w:tcW w:w="846" w:type="dxa"/>
            <w:shd w:val="clear" w:color="auto" w:fill="auto"/>
          </w:tcPr>
          <w:p w14:paraId="04C11706" w14:textId="293D7583" w:rsidR="00551B9C" w:rsidRPr="00CA6498" w:rsidRDefault="00551B9C" w:rsidP="00551B9C">
            <w:pPr>
              <w:spacing w:before="120" w:after="120"/>
              <w:jc w:val="both"/>
              <w:rPr>
                <w:sz w:val="22"/>
                <w:szCs w:val="22"/>
              </w:rPr>
            </w:pPr>
            <w:r>
              <w:rPr>
                <w:sz w:val="22"/>
                <w:szCs w:val="22"/>
              </w:rPr>
              <w:t>8.</w:t>
            </w:r>
          </w:p>
        </w:tc>
        <w:tc>
          <w:tcPr>
            <w:tcW w:w="1275" w:type="dxa"/>
            <w:shd w:val="clear" w:color="auto" w:fill="auto"/>
          </w:tcPr>
          <w:p w14:paraId="529D2757" w14:textId="77777777" w:rsidR="00551B9C" w:rsidRDefault="00551B9C" w:rsidP="00551B9C">
            <w:pPr>
              <w:spacing w:before="120" w:after="120"/>
              <w:jc w:val="right"/>
              <w:rPr>
                <w:sz w:val="22"/>
                <w:szCs w:val="22"/>
              </w:rPr>
            </w:pPr>
            <w:r w:rsidRPr="00CA6498">
              <w:rPr>
                <w:sz w:val="22"/>
                <w:szCs w:val="22"/>
              </w:rPr>
              <w:t>…%</w:t>
            </w:r>
          </w:p>
          <w:p w14:paraId="7E9CE418" w14:textId="41CC3705" w:rsidR="00551B9C" w:rsidRPr="00CA6498" w:rsidRDefault="00551B9C" w:rsidP="00551B9C">
            <w:pPr>
              <w:spacing w:before="120" w:after="120"/>
              <w:jc w:val="center"/>
              <w:rPr>
                <w:sz w:val="22"/>
                <w:szCs w:val="22"/>
              </w:rPr>
            </w:pPr>
            <w:r>
              <w:rPr>
                <w:sz w:val="22"/>
                <w:szCs w:val="22"/>
              </w:rPr>
              <w:lastRenderedPageBreak/>
              <w:t>(the remaining value of the Works)</w:t>
            </w:r>
          </w:p>
        </w:tc>
        <w:tc>
          <w:tcPr>
            <w:tcW w:w="2476" w:type="dxa"/>
            <w:shd w:val="clear" w:color="auto" w:fill="auto"/>
          </w:tcPr>
          <w:p w14:paraId="63E75F48" w14:textId="77777777" w:rsidR="00551B9C" w:rsidRPr="00CA6498" w:rsidRDefault="00551B9C" w:rsidP="00551B9C">
            <w:pPr>
              <w:spacing w:before="120" w:after="120"/>
              <w:jc w:val="both"/>
              <w:rPr>
                <w:sz w:val="22"/>
                <w:szCs w:val="22"/>
              </w:rPr>
            </w:pPr>
            <w:r w:rsidRPr="00CA6498">
              <w:rPr>
                <w:sz w:val="22"/>
                <w:szCs w:val="22"/>
              </w:rPr>
              <w:lastRenderedPageBreak/>
              <w:t>Interim payment of Article 50</w:t>
            </w:r>
          </w:p>
        </w:tc>
        <w:tc>
          <w:tcPr>
            <w:tcW w:w="3890" w:type="dxa"/>
            <w:shd w:val="clear" w:color="auto" w:fill="auto"/>
          </w:tcPr>
          <w:p w14:paraId="3E3F4305" w14:textId="77777777" w:rsidR="00551B9C" w:rsidRPr="00CA6498" w:rsidRDefault="00551B9C" w:rsidP="00551B9C">
            <w:pPr>
              <w:spacing w:before="120" w:after="120"/>
              <w:jc w:val="both"/>
              <w:rPr>
                <w:sz w:val="22"/>
                <w:szCs w:val="22"/>
              </w:rPr>
            </w:pPr>
            <w:r w:rsidRPr="00CA6498">
              <w:rPr>
                <w:sz w:val="22"/>
                <w:szCs w:val="22"/>
              </w:rPr>
              <w:t xml:space="preserve">After issuing of the </w:t>
            </w:r>
            <w:r>
              <w:rPr>
                <w:sz w:val="22"/>
                <w:szCs w:val="22"/>
              </w:rPr>
              <w:t>c</w:t>
            </w:r>
            <w:r w:rsidRPr="00CA6498">
              <w:rPr>
                <w:sz w:val="22"/>
                <w:szCs w:val="22"/>
              </w:rPr>
              <w:t>ertificate of provisional acceptance</w:t>
            </w:r>
          </w:p>
        </w:tc>
      </w:tr>
      <w:tr w:rsidR="00551B9C" w:rsidRPr="005967FA" w14:paraId="59EB3936" w14:textId="77777777" w:rsidTr="00551B9C">
        <w:tc>
          <w:tcPr>
            <w:tcW w:w="846" w:type="dxa"/>
            <w:shd w:val="clear" w:color="auto" w:fill="auto"/>
          </w:tcPr>
          <w:p w14:paraId="03542133" w14:textId="77777777" w:rsidR="00551B9C" w:rsidRPr="00CA6498" w:rsidRDefault="00551B9C" w:rsidP="00551B9C">
            <w:pPr>
              <w:spacing w:before="120" w:after="120"/>
              <w:jc w:val="both"/>
              <w:rPr>
                <w:sz w:val="22"/>
                <w:szCs w:val="22"/>
              </w:rPr>
            </w:pPr>
            <w:r w:rsidRPr="00CA6498">
              <w:rPr>
                <w:sz w:val="22"/>
                <w:szCs w:val="22"/>
              </w:rPr>
              <w:lastRenderedPageBreak/>
              <w:t>&lt;last&gt;</w:t>
            </w:r>
          </w:p>
        </w:tc>
        <w:tc>
          <w:tcPr>
            <w:tcW w:w="1275" w:type="dxa"/>
            <w:shd w:val="clear" w:color="auto" w:fill="auto"/>
          </w:tcPr>
          <w:p w14:paraId="4D8A626A" w14:textId="77777777" w:rsidR="00551B9C" w:rsidRPr="00CA6498" w:rsidRDefault="00551B9C" w:rsidP="00551B9C">
            <w:pPr>
              <w:spacing w:before="120" w:after="120"/>
              <w:jc w:val="right"/>
              <w:rPr>
                <w:sz w:val="22"/>
                <w:szCs w:val="22"/>
              </w:rPr>
            </w:pPr>
            <w:r w:rsidRPr="00CA6498">
              <w:rPr>
                <w:sz w:val="22"/>
                <w:szCs w:val="22"/>
              </w:rPr>
              <w:t>10%</w:t>
            </w:r>
          </w:p>
        </w:tc>
        <w:tc>
          <w:tcPr>
            <w:tcW w:w="2476" w:type="dxa"/>
            <w:shd w:val="clear" w:color="auto" w:fill="auto"/>
          </w:tcPr>
          <w:p w14:paraId="50EE61E3" w14:textId="78B5757F" w:rsidR="00551B9C" w:rsidRPr="00CA6498" w:rsidRDefault="00551B9C" w:rsidP="00551B9C">
            <w:pPr>
              <w:spacing w:before="120" w:after="120"/>
              <w:jc w:val="both"/>
              <w:rPr>
                <w:sz w:val="22"/>
                <w:szCs w:val="22"/>
              </w:rPr>
            </w:pPr>
            <w:r>
              <w:rPr>
                <w:sz w:val="22"/>
                <w:szCs w:val="22"/>
              </w:rPr>
              <w:t xml:space="preserve">Repayment of </w:t>
            </w:r>
            <w:r w:rsidRPr="00CA6498">
              <w:rPr>
                <w:sz w:val="22"/>
                <w:szCs w:val="22"/>
              </w:rPr>
              <w:t xml:space="preserve">Retention money </w:t>
            </w:r>
            <w:r>
              <w:rPr>
                <w:sz w:val="22"/>
                <w:szCs w:val="22"/>
              </w:rPr>
              <w:t>under</w:t>
            </w:r>
            <w:r w:rsidRPr="00CA6498">
              <w:rPr>
                <w:sz w:val="22"/>
                <w:szCs w:val="22"/>
              </w:rPr>
              <w:t xml:space="preserve"> Article 47</w:t>
            </w:r>
          </w:p>
        </w:tc>
        <w:tc>
          <w:tcPr>
            <w:tcW w:w="3890" w:type="dxa"/>
            <w:shd w:val="clear" w:color="auto" w:fill="auto"/>
          </w:tcPr>
          <w:p w14:paraId="642E2917" w14:textId="5EBA45D0" w:rsidR="00551B9C" w:rsidRPr="00CA6498" w:rsidRDefault="00551B9C" w:rsidP="00551B9C">
            <w:pPr>
              <w:spacing w:before="120" w:after="120"/>
              <w:jc w:val="both"/>
              <w:rPr>
                <w:sz w:val="22"/>
                <w:szCs w:val="22"/>
              </w:rPr>
            </w:pPr>
            <w:r w:rsidRPr="00CA6498">
              <w:rPr>
                <w:sz w:val="22"/>
                <w:szCs w:val="22"/>
              </w:rPr>
              <w:t xml:space="preserve">Within 45 days of the issuing of the signed </w:t>
            </w:r>
            <w:r>
              <w:rPr>
                <w:sz w:val="22"/>
                <w:szCs w:val="22"/>
              </w:rPr>
              <w:t>f</w:t>
            </w:r>
            <w:r w:rsidRPr="00CA6498">
              <w:rPr>
                <w:sz w:val="22"/>
                <w:szCs w:val="22"/>
              </w:rPr>
              <w:t>inal statement of account</w:t>
            </w:r>
            <w:r>
              <w:rPr>
                <w:sz w:val="22"/>
                <w:szCs w:val="22"/>
              </w:rPr>
              <w:t xml:space="preserve"> </w:t>
            </w:r>
            <w:r w:rsidRPr="00551B9C">
              <w:rPr>
                <w:sz w:val="22"/>
                <w:szCs w:val="22"/>
              </w:rPr>
              <w:t xml:space="preserve">(unless </w:t>
            </w:r>
            <w:r>
              <w:rPr>
                <w:sz w:val="22"/>
                <w:szCs w:val="22"/>
              </w:rPr>
              <w:t xml:space="preserve">the retention money is </w:t>
            </w:r>
            <w:r w:rsidRPr="00551B9C">
              <w:rPr>
                <w:sz w:val="22"/>
                <w:szCs w:val="22"/>
              </w:rPr>
              <w:t>substituted by a retention guarantee in accordance with Article 47.2 of the general conditions)</w:t>
            </w:r>
          </w:p>
        </w:tc>
      </w:tr>
    </w:tbl>
    <w:p w14:paraId="2FFEAF00" w14:textId="77777777"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14:paraId="588C596E"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5E9C9B00" w14:textId="77777777" w:rsidR="001050EE" w:rsidRPr="009D5EB6" w:rsidRDefault="001050EE" w:rsidP="00116CA6">
      <w:pPr>
        <w:spacing w:before="240"/>
        <w:ind w:left="1276" w:hanging="1276"/>
        <w:jc w:val="both"/>
        <w:rPr>
          <w:b/>
          <w:szCs w:val="24"/>
        </w:rPr>
      </w:pPr>
      <w:bookmarkStart w:id="27" w:name="_Toc76894445"/>
      <w:r w:rsidRPr="009D5EB6">
        <w:rPr>
          <w:b/>
          <w:szCs w:val="24"/>
        </w:rPr>
        <w:t>Article 53</w:t>
      </w:r>
      <w:r w:rsidRPr="009D5EB6">
        <w:rPr>
          <w:b/>
          <w:szCs w:val="24"/>
        </w:rPr>
        <w:tab/>
        <w:t>Delayed payments</w:t>
      </w:r>
      <w:bookmarkEnd w:id="27"/>
    </w:p>
    <w:p w14:paraId="38F32F49" w14:textId="77777777" w:rsidR="00B25087" w:rsidRPr="009D5EB6" w:rsidRDefault="001050EE" w:rsidP="00101855">
      <w:pPr>
        <w:autoSpaceDE w:val="0"/>
        <w:autoSpaceDN w:val="0"/>
        <w:adjustRightInd w:val="0"/>
        <w:spacing w:before="120" w:after="120"/>
        <w:ind w:left="1276" w:hanging="709"/>
        <w:jc w:val="both"/>
      </w:pPr>
      <w:r w:rsidRPr="009D5EB6">
        <w:rPr>
          <w:bCs/>
          <w:sz w:val="22"/>
          <w:szCs w:val="22"/>
        </w:rPr>
        <w:t>53.1</w:t>
      </w:r>
      <w:r w:rsidRPr="009D5EB6">
        <w:rPr>
          <w:bCs/>
          <w:sz w:val="22"/>
          <w:szCs w:val="22"/>
        </w:rPr>
        <w:tab/>
        <w:t xml:space="preserve">By derogation from Article 53.1 of the </w:t>
      </w:r>
      <w:r w:rsidR="00B6292A" w:rsidRPr="009D5EB6">
        <w:rPr>
          <w:bCs/>
          <w:sz w:val="22"/>
          <w:szCs w:val="22"/>
        </w:rPr>
        <w:t>g</w:t>
      </w:r>
      <w:r w:rsidRPr="009D5EB6">
        <w:rPr>
          <w:bCs/>
          <w:sz w:val="22"/>
          <w:szCs w:val="22"/>
        </w:rPr>
        <w:t xml:space="preserve">eneral </w:t>
      </w:r>
      <w:r w:rsidR="00B6292A" w:rsidRPr="009D5EB6">
        <w:rPr>
          <w:bCs/>
          <w:sz w:val="22"/>
          <w:szCs w:val="22"/>
        </w:rPr>
        <w:t>c</w:t>
      </w:r>
      <w:r w:rsidRPr="009D5EB6">
        <w:rPr>
          <w:bCs/>
          <w:sz w:val="22"/>
          <w:szCs w:val="22"/>
        </w:rPr>
        <w:t>ondition</w:t>
      </w:r>
      <w:r w:rsidR="00BD2F7D" w:rsidRPr="009D5EB6">
        <w:rPr>
          <w:bCs/>
          <w:sz w:val="22"/>
          <w:szCs w:val="22"/>
        </w:rPr>
        <w:t>s</w:t>
      </w:r>
      <w:r w:rsidRPr="009D5EB6">
        <w:rPr>
          <w:bCs/>
          <w:sz w:val="22"/>
          <w:szCs w:val="22"/>
        </w:rPr>
        <w:t xml:space="preserve">, </w:t>
      </w:r>
      <w:r w:rsidR="000B16FC" w:rsidRPr="009D5EB6">
        <w:rPr>
          <w:bCs/>
          <w:sz w:val="22"/>
          <w:szCs w:val="22"/>
        </w:rPr>
        <w:t xml:space="preserve">once the time-limit referred </w:t>
      </w:r>
      <w:r w:rsidRPr="009D5EB6">
        <w:rPr>
          <w:bCs/>
          <w:sz w:val="22"/>
          <w:szCs w:val="22"/>
        </w:rPr>
        <w:t>Article</w:t>
      </w:r>
      <w:r w:rsidR="00101855" w:rsidRPr="009D5EB6">
        <w:rPr>
          <w:bCs/>
          <w:sz w:val="22"/>
          <w:szCs w:val="22"/>
        </w:rPr>
        <w:t> </w:t>
      </w:r>
      <w:r w:rsidRPr="009D5EB6">
        <w:rPr>
          <w:bCs/>
          <w:sz w:val="22"/>
          <w:szCs w:val="22"/>
        </w:rPr>
        <w:t xml:space="preserve">44.3 has expired, </w:t>
      </w:r>
      <w:r w:rsidR="00B25087" w:rsidRPr="009D5EB6">
        <w:rPr>
          <w:bCs/>
          <w:sz w:val="22"/>
          <w:szCs w:val="22"/>
        </w:rPr>
        <w:t xml:space="preserve">the </w:t>
      </w:r>
      <w:r w:rsidR="00B6292A" w:rsidRPr="009D5EB6">
        <w:rPr>
          <w:bCs/>
          <w:sz w:val="22"/>
          <w:szCs w:val="22"/>
        </w:rPr>
        <w:t>c</w:t>
      </w:r>
      <w:r w:rsidR="00B25087" w:rsidRPr="009D5EB6">
        <w:rPr>
          <w:bCs/>
          <w:sz w:val="22"/>
          <w:szCs w:val="22"/>
        </w:rPr>
        <w:t xml:space="preserve">ontractor shall be entitled to late-payment interest at the rate and for the period mentioned in the </w:t>
      </w:r>
      <w:r w:rsidR="00B6292A" w:rsidRPr="009D5EB6">
        <w:rPr>
          <w:bCs/>
          <w:sz w:val="22"/>
          <w:szCs w:val="22"/>
        </w:rPr>
        <w:t>g</w:t>
      </w:r>
      <w:r w:rsidR="00B25087" w:rsidRPr="009D5EB6">
        <w:rPr>
          <w:bCs/>
          <w:sz w:val="22"/>
          <w:szCs w:val="22"/>
        </w:rPr>
        <w:t xml:space="preserve">eneral </w:t>
      </w:r>
      <w:r w:rsidR="00B6292A" w:rsidRPr="009D5EB6">
        <w:rPr>
          <w:bCs/>
          <w:sz w:val="22"/>
          <w:szCs w:val="22"/>
        </w:rPr>
        <w:t>c</w:t>
      </w:r>
      <w:r w:rsidR="00B25087" w:rsidRPr="009D5EB6">
        <w:rPr>
          <w:bCs/>
          <w:sz w:val="22"/>
          <w:szCs w:val="22"/>
        </w:rPr>
        <w:t>onditions.</w:t>
      </w:r>
      <w:r w:rsidRPr="009D5EB6">
        <w:rPr>
          <w:bCs/>
          <w:sz w:val="22"/>
          <w:szCs w:val="22"/>
        </w:rPr>
        <w:t xml:space="preserve"> </w:t>
      </w:r>
      <w:r w:rsidR="00B25087" w:rsidRPr="009D5EB6">
        <w:t xml:space="preserve"> </w:t>
      </w:r>
    </w:p>
    <w:p w14:paraId="6469C6A7" w14:textId="60B0E0D1" w:rsidR="00B25087" w:rsidRPr="00F2670B" w:rsidRDefault="00B25087" w:rsidP="00F2670B">
      <w:pPr>
        <w:autoSpaceDE w:val="0"/>
        <w:autoSpaceDN w:val="0"/>
        <w:adjustRightInd w:val="0"/>
        <w:spacing w:before="120" w:after="120"/>
        <w:ind w:left="1276"/>
        <w:jc w:val="both"/>
        <w:rPr>
          <w:szCs w:val="22"/>
        </w:rPr>
      </w:pPr>
      <w:r w:rsidRPr="009D5EB6">
        <w:rPr>
          <w:sz w:val="22"/>
          <w:szCs w:val="22"/>
        </w:rPr>
        <w:t>However, when the interest calculated in accordance with the first subparagraph is lower than or equal to EUR 200, it shall be paid to the creditor only upon a demand submitted within two months of receiving late payment</w:t>
      </w:r>
      <w:r w:rsidR="009D5EB6" w:rsidRPr="009D5EB6">
        <w:rPr>
          <w:sz w:val="22"/>
          <w:szCs w:val="22"/>
        </w:rPr>
        <w:t>.</w:t>
      </w:r>
    </w:p>
    <w:p w14:paraId="48F6EB47" w14:textId="77777777" w:rsidR="001050EE" w:rsidRPr="00116CA6" w:rsidRDefault="001050EE" w:rsidP="00CA6498">
      <w:pPr>
        <w:keepNext/>
        <w:spacing w:before="240"/>
        <w:ind w:left="1276" w:hanging="1276"/>
        <w:jc w:val="both"/>
        <w:rPr>
          <w:b/>
          <w:szCs w:val="24"/>
        </w:rPr>
      </w:pPr>
      <w:bookmarkStart w:id="28" w:name="_Toc76894448"/>
      <w:r w:rsidRPr="00116CA6">
        <w:rPr>
          <w:b/>
          <w:szCs w:val="24"/>
        </w:rPr>
        <w:t>Article 61</w:t>
      </w:r>
      <w:r w:rsidRPr="00116CA6">
        <w:rPr>
          <w:b/>
          <w:szCs w:val="24"/>
        </w:rPr>
        <w:tab/>
        <w:t>Defects liability</w:t>
      </w:r>
      <w:bookmarkEnd w:id="28"/>
    </w:p>
    <w:p w14:paraId="43ACF13D"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5CAF80F5" w14:textId="77777777" w:rsidR="001050EE" w:rsidRPr="00116CA6" w:rsidRDefault="001050EE" w:rsidP="00116CA6">
      <w:pPr>
        <w:spacing w:before="240"/>
        <w:ind w:left="1276" w:hanging="1276"/>
        <w:jc w:val="both"/>
        <w:rPr>
          <w:b/>
          <w:szCs w:val="24"/>
        </w:rPr>
      </w:pPr>
      <w:bookmarkStart w:id="29" w:name="_Toc76894451"/>
      <w:r w:rsidRPr="00116CA6">
        <w:rPr>
          <w:b/>
          <w:szCs w:val="24"/>
        </w:rPr>
        <w:t>Article 68</w:t>
      </w:r>
      <w:r w:rsidRPr="00116CA6">
        <w:rPr>
          <w:b/>
          <w:szCs w:val="24"/>
        </w:rPr>
        <w:tab/>
        <w:t>Dispute settlement</w:t>
      </w:r>
      <w:bookmarkEnd w:id="29"/>
    </w:p>
    <w:p w14:paraId="05810AA6" w14:textId="6FD55A5B" w:rsidR="004321C9" w:rsidRPr="00CF543E" w:rsidRDefault="001050EE" w:rsidP="00CF543E">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9D5EB6">
        <w:rPr>
          <w:sz w:val="22"/>
          <w:szCs w:val="22"/>
          <w:lang w:bidi="kn-IN"/>
        </w:rPr>
        <w:t xml:space="preserve">Any dispute arising out of or relating to this </w:t>
      </w:r>
      <w:r w:rsidR="00B6292A" w:rsidRPr="009D5EB6">
        <w:rPr>
          <w:sz w:val="22"/>
          <w:szCs w:val="22"/>
          <w:lang w:bidi="kn-IN"/>
        </w:rPr>
        <w:t>c</w:t>
      </w:r>
      <w:r w:rsidRPr="009D5EB6">
        <w:rPr>
          <w:sz w:val="22"/>
          <w:szCs w:val="22"/>
          <w:lang w:bidi="kn-IN"/>
        </w:rPr>
        <w:t xml:space="preserve">ontract which cannot be settled otherwise shall be referred to the </w:t>
      </w:r>
      <w:r w:rsidR="009D5EB6" w:rsidRPr="009D5EB6">
        <w:rPr>
          <w:sz w:val="22"/>
          <w:szCs w:val="22"/>
          <w:lang w:bidi="kn-IN"/>
        </w:rPr>
        <w:t>competent Bulgarian court of law in</w:t>
      </w:r>
      <w:r w:rsidR="002079A9" w:rsidRPr="009D5EB6">
        <w:rPr>
          <w:sz w:val="22"/>
          <w:szCs w:val="22"/>
          <w:lang w:bidi="kn-IN"/>
        </w:rPr>
        <w:t xml:space="preserve"> accordance with </w:t>
      </w:r>
      <w:r w:rsidRPr="009D5EB6">
        <w:rPr>
          <w:sz w:val="22"/>
          <w:szCs w:val="22"/>
          <w:lang w:bidi="kn-IN"/>
        </w:rPr>
        <w:t xml:space="preserve">the national legislation </w:t>
      </w:r>
      <w:r w:rsidR="002079A9" w:rsidRPr="009D5EB6">
        <w:rPr>
          <w:sz w:val="22"/>
          <w:szCs w:val="22"/>
          <w:lang w:bidi="kn-IN"/>
        </w:rPr>
        <w:t xml:space="preserve">of the state </w:t>
      </w:r>
      <w:r w:rsidRPr="009D5EB6">
        <w:rPr>
          <w:sz w:val="22"/>
          <w:szCs w:val="22"/>
          <w:lang w:bidi="kn-IN"/>
        </w:rPr>
        <w:t xml:space="preserve">of the </w:t>
      </w:r>
      <w:r w:rsidR="00B6292A" w:rsidRPr="009D5EB6">
        <w:rPr>
          <w:sz w:val="22"/>
          <w:szCs w:val="22"/>
          <w:lang w:bidi="kn-IN"/>
        </w:rPr>
        <w:t>c</w:t>
      </w:r>
      <w:r w:rsidRPr="009D5EB6">
        <w:rPr>
          <w:sz w:val="22"/>
          <w:szCs w:val="22"/>
          <w:lang w:bidi="kn-IN"/>
        </w:rPr>
        <w:t xml:space="preserve">ontracting </w:t>
      </w:r>
      <w:r w:rsidR="00B6292A" w:rsidRPr="009D5EB6">
        <w:rPr>
          <w:sz w:val="22"/>
          <w:szCs w:val="22"/>
          <w:lang w:bidi="kn-IN"/>
        </w:rPr>
        <w:t>a</w:t>
      </w:r>
      <w:r w:rsidRPr="009D5EB6">
        <w:rPr>
          <w:sz w:val="22"/>
          <w:szCs w:val="22"/>
          <w:lang w:bidi="kn-IN"/>
        </w:rPr>
        <w:t>uthority</w:t>
      </w:r>
      <w:r w:rsidR="009D5EB6" w:rsidRPr="009D5EB6">
        <w:rPr>
          <w:sz w:val="22"/>
          <w:szCs w:val="22"/>
          <w:lang w:bidi="kn-IN"/>
        </w:rPr>
        <w:t>.</w:t>
      </w:r>
    </w:p>
    <w:p w14:paraId="42822359" w14:textId="77777777" w:rsidR="004321C9" w:rsidRPr="00CF543E" w:rsidRDefault="004321C9" w:rsidP="004C6937">
      <w:pPr>
        <w:keepNext/>
        <w:keepLines/>
        <w:tabs>
          <w:tab w:val="left" w:pos="1134"/>
        </w:tabs>
        <w:spacing w:before="240" w:after="120"/>
        <w:ind w:left="1134" w:hanging="1134"/>
        <w:jc w:val="both"/>
        <w:rPr>
          <w:b/>
          <w:szCs w:val="24"/>
        </w:rPr>
      </w:pPr>
      <w:r w:rsidRPr="00CF543E">
        <w:rPr>
          <w:b/>
          <w:szCs w:val="24"/>
        </w:rPr>
        <w:t>Article 72</w:t>
      </w:r>
      <w:r w:rsidRPr="00CF543E">
        <w:rPr>
          <w:b/>
          <w:szCs w:val="24"/>
        </w:rPr>
        <w:tab/>
        <w:t xml:space="preserve">Data </w:t>
      </w:r>
      <w:r w:rsidR="00B6292A" w:rsidRPr="00CF543E">
        <w:rPr>
          <w:b/>
          <w:szCs w:val="24"/>
        </w:rPr>
        <w:t>p</w:t>
      </w:r>
      <w:r w:rsidRPr="00CF543E">
        <w:rPr>
          <w:b/>
          <w:szCs w:val="24"/>
        </w:rPr>
        <w:t>rotection</w:t>
      </w:r>
    </w:p>
    <w:p w14:paraId="19B1676E" w14:textId="77777777" w:rsidR="009D5EB6" w:rsidRDefault="009D5EB6" w:rsidP="004C6937">
      <w:pPr>
        <w:jc w:val="both"/>
        <w:rPr>
          <w:sz w:val="22"/>
          <w:szCs w:val="22"/>
        </w:rPr>
      </w:pPr>
    </w:p>
    <w:p w14:paraId="4053ADCD" w14:textId="1EE7B475" w:rsidR="00127C86" w:rsidRPr="009D5EB6" w:rsidRDefault="00CF543E" w:rsidP="00CF543E">
      <w:pPr>
        <w:ind w:left="1440" w:hanging="720"/>
        <w:jc w:val="both"/>
        <w:rPr>
          <w:sz w:val="22"/>
          <w:szCs w:val="22"/>
        </w:rPr>
      </w:pPr>
      <w:r>
        <w:rPr>
          <w:sz w:val="22"/>
          <w:szCs w:val="22"/>
        </w:rPr>
        <w:t>72.</w:t>
      </w:r>
      <w:r w:rsidR="00127C86" w:rsidRPr="009D5EB6">
        <w:rPr>
          <w:sz w:val="22"/>
          <w:szCs w:val="22"/>
        </w:rPr>
        <w:t>1</w:t>
      </w:r>
      <w:r>
        <w:rPr>
          <w:sz w:val="22"/>
          <w:szCs w:val="22"/>
        </w:rPr>
        <w:tab/>
      </w:r>
      <w:r w:rsidR="00127C86" w:rsidRPr="009D5EB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57386E6" w14:textId="77777777" w:rsidR="009D5EB6" w:rsidRPr="009D5EB6" w:rsidRDefault="009D5EB6" w:rsidP="004C6937">
      <w:pPr>
        <w:jc w:val="both"/>
        <w:rPr>
          <w:sz w:val="22"/>
          <w:szCs w:val="22"/>
        </w:rPr>
      </w:pPr>
    </w:p>
    <w:p w14:paraId="653F76A0" w14:textId="28706537" w:rsidR="00127C86" w:rsidRPr="005C0DEE" w:rsidRDefault="00CF543E" w:rsidP="00CF543E">
      <w:pPr>
        <w:ind w:left="1440" w:hanging="720"/>
        <w:jc w:val="both"/>
        <w:rPr>
          <w:sz w:val="22"/>
          <w:szCs w:val="22"/>
          <w:u w:val="single"/>
        </w:rPr>
      </w:pPr>
      <w:r>
        <w:rPr>
          <w:sz w:val="22"/>
          <w:szCs w:val="22"/>
        </w:rPr>
        <w:t>72.</w:t>
      </w:r>
      <w:r w:rsidR="00127C86" w:rsidRPr="009D5EB6">
        <w:rPr>
          <w:sz w:val="22"/>
          <w:szCs w:val="22"/>
        </w:rPr>
        <w:t>2</w:t>
      </w:r>
      <w:r>
        <w:rPr>
          <w:sz w:val="22"/>
          <w:szCs w:val="22"/>
        </w:rPr>
        <w:tab/>
      </w:r>
      <w:r w:rsidR="00127C86" w:rsidRPr="009D5EB6">
        <w:rPr>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w:t>
      </w:r>
      <w:r w:rsidR="00127C86" w:rsidRPr="009D5EB6">
        <w:rPr>
          <w:sz w:val="22"/>
          <w:szCs w:val="22"/>
        </w:rPr>
        <w:lastRenderedPageBreak/>
        <w:t>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127C86" w:rsidRPr="009D5EB6">
        <w:rPr>
          <w:rStyle w:val="FootnoteReference"/>
          <w:sz w:val="22"/>
          <w:szCs w:val="22"/>
        </w:rPr>
        <w:footnoteReference w:id="1"/>
      </w:r>
      <w:r w:rsidR="00127C86" w:rsidRPr="009D5EB6">
        <w:rPr>
          <w:sz w:val="22"/>
          <w:szCs w:val="22"/>
        </w:rPr>
        <w:t xml:space="preserve"> and as detailed in the specific privacy statement published at ePRAG.</w:t>
      </w:r>
    </w:p>
    <w:p w14:paraId="4EB6BA35" w14:textId="77777777" w:rsidR="004321C9" w:rsidRDefault="004321C9" w:rsidP="00F2670B">
      <w:pPr>
        <w:spacing w:before="240"/>
        <w:ind w:left="1417" w:hanging="1417"/>
        <w:rPr>
          <w:sz w:val="22"/>
          <w:szCs w:val="22"/>
        </w:rPr>
      </w:pPr>
    </w:p>
    <w:p w14:paraId="5312542D"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2C605" w14:textId="77777777" w:rsidR="00B50C33" w:rsidRPr="00E725FE" w:rsidRDefault="00B50C33">
      <w:r w:rsidRPr="00E725FE">
        <w:separator/>
      </w:r>
    </w:p>
  </w:endnote>
  <w:endnote w:type="continuationSeparator" w:id="0">
    <w:p w14:paraId="7AA1C954" w14:textId="77777777" w:rsidR="00B50C33" w:rsidRPr="00E725FE" w:rsidRDefault="00B50C3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6365"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59E09C9"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D042F" w14:textId="52534728"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2622CD">
      <w:rPr>
        <w:rStyle w:val="PageNumber"/>
        <w:noProof/>
        <w:sz w:val="18"/>
        <w:szCs w:val="18"/>
      </w:rPr>
      <w:t>5</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2622CD">
      <w:rPr>
        <w:rStyle w:val="PageNumber"/>
        <w:noProof/>
        <w:sz w:val="18"/>
        <w:szCs w:val="18"/>
      </w:rPr>
      <w:t>5</w:t>
    </w:r>
    <w:r w:rsidR="00795633" w:rsidRPr="00B3283E">
      <w:rPr>
        <w:rStyle w:val="PageNumber"/>
        <w:sz w:val="18"/>
        <w:szCs w:val="18"/>
      </w:rPr>
      <w:fldChar w:fldCharType="end"/>
    </w:r>
  </w:p>
  <w:p w14:paraId="6526497A"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46E9"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53AF3747"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F4832" w14:textId="77777777" w:rsidR="00B50C33" w:rsidRPr="00E725FE" w:rsidRDefault="00B50C33">
      <w:r w:rsidRPr="00E725FE">
        <w:separator/>
      </w:r>
    </w:p>
  </w:footnote>
  <w:footnote w:type="continuationSeparator" w:id="0">
    <w:p w14:paraId="5574CAEA" w14:textId="77777777" w:rsidR="00B50C33" w:rsidRPr="00E725FE" w:rsidRDefault="00B50C33">
      <w:r w:rsidRPr="00E725FE">
        <w:continuationSeparator/>
      </w:r>
    </w:p>
  </w:footnote>
  <w:footnote w:id="1">
    <w:p w14:paraId="17522500"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1E920"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5ED93E66"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61C81"/>
    <w:multiLevelType w:val="hybridMultilevel"/>
    <w:tmpl w:val="28C0AA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66DEE"/>
    <w:rsid w:val="000804AD"/>
    <w:rsid w:val="000813E1"/>
    <w:rsid w:val="00091417"/>
    <w:rsid w:val="000918C2"/>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622CD"/>
    <w:rsid w:val="00270B92"/>
    <w:rsid w:val="00271353"/>
    <w:rsid w:val="00286A23"/>
    <w:rsid w:val="00294FAC"/>
    <w:rsid w:val="00295092"/>
    <w:rsid w:val="002B13F4"/>
    <w:rsid w:val="002B7A05"/>
    <w:rsid w:val="002C14B2"/>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1B9C"/>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2108"/>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5EB6"/>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464B7"/>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0C33"/>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543E"/>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A94"/>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3256"/>
    <w:rsid w:val="00E94F7D"/>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EF5CEE"/>
    <w:rsid w:val="00F01D59"/>
    <w:rsid w:val="00F04815"/>
    <w:rsid w:val="00F04CE7"/>
    <w:rsid w:val="00F04F3B"/>
    <w:rsid w:val="00F054CD"/>
    <w:rsid w:val="00F13755"/>
    <w:rsid w:val="00F14091"/>
    <w:rsid w:val="00F14148"/>
    <w:rsid w:val="00F15EFD"/>
    <w:rsid w:val="00F162E3"/>
    <w:rsid w:val="00F25C13"/>
    <w:rsid w:val="00F2670B"/>
    <w:rsid w:val="00F3054C"/>
    <w:rsid w:val="00F328AD"/>
    <w:rsid w:val="00F406C7"/>
    <w:rsid w:val="00F54BC5"/>
    <w:rsid w:val="00F54C76"/>
    <w:rsid w:val="00F70558"/>
    <w:rsid w:val="00F8386F"/>
    <w:rsid w:val="00F85039"/>
    <w:rsid w:val="00F8572E"/>
    <w:rsid w:val="00F866AA"/>
    <w:rsid w:val="00F9163A"/>
    <w:rsid w:val="00F9199C"/>
    <w:rsid w:val="00F96B09"/>
    <w:rsid w:val="00FA09A8"/>
    <w:rsid w:val="00FA10D2"/>
    <w:rsid w:val="00FA6E41"/>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8FC03F"/>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styleId="ListParagraph">
    <w:name w:val="List Paragraph"/>
    <w:basedOn w:val="Normal"/>
    <w:uiPriority w:val="34"/>
    <w:qFormat/>
    <w:rsid w:val="008321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409645233">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vailetat@gmail.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bgtr.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08E8A-AFA2-401B-862D-EE37D45D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1621</Words>
  <Characters>8695</Characters>
  <Application>Microsoft Office Word</Application>
  <DocSecurity>0</DocSecurity>
  <Lines>72</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Acer1</cp:lastModifiedBy>
  <cp:revision>7</cp:revision>
  <cp:lastPrinted>2014-02-12T13:59:00Z</cp:lastPrinted>
  <dcterms:created xsi:type="dcterms:W3CDTF">2021-06-02T18:38:00Z</dcterms:created>
  <dcterms:modified xsi:type="dcterms:W3CDTF">2021-09-20T08:40:00Z</dcterms:modified>
</cp:coreProperties>
</file>