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8F851" w14:textId="74640BFA" w:rsidR="00F14483" w:rsidRDefault="00F70834">
      <w:pPr>
        <w:pStyle w:val="Altyaz"/>
        <w:spacing w:after="240"/>
        <w:rPr>
          <w:lang w:val="en-GB"/>
        </w:rPr>
      </w:pPr>
      <w:r>
        <w:rPr>
          <w:lang w:val="en-GB"/>
        </w:rPr>
        <w:t xml:space="preserve">REFERENCE: </w:t>
      </w:r>
      <w:r w:rsidRPr="009D4BA5">
        <w:rPr>
          <w:lang w:val="en-GB"/>
        </w:rPr>
        <w:t>CB005.3.12.001 – PP2– Service 3</w:t>
      </w:r>
    </w:p>
    <w:p w14:paraId="168B12CC" w14:textId="77777777" w:rsidR="00F14483" w:rsidRDefault="00F70834">
      <w:pPr>
        <w:pStyle w:val="Altyaz"/>
        <w:spacing w:after="240"/>
        <w:jc w:val="both"/>
        <w:rPr>
          <w:sz w:val="22"/>
          <w:szCs w:val="22"/>
          <w:lang w:val="en-GB"/>
        </w:rPr>
      </w:pPr>
      <w:r>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705CC7A4" w14:textId="77777777" w:rsidR="00F14483" w:rsidRDefault="00F70834">
      <w:pPr>
        <w:pStyle w:val="Altyaz"/>
        <w:spacing w:after="240"/>
        <w:jc w:val="both"/>
        <w:rPr>
          <w:sz w:val="22"/>
          <w:szCs w:val="22"/>
          <w:lang w:val="en-GB"/>
        </w:rPr>
      </w:pPr>
      <w:r>
        <w:rPr>
          <w:sz w:val="22"/>
          <w:szCs w:val="22"/>
          <w:lang w:val="en-GB"/>
        </w:rPr>
        <w:t xml:space="preserve">These instructions set out the rules for submitting, </w:t>
      </w:r>
      <w:proofErr w:type="gramStart"/>
      <w:r>
        <w:rPr>
          <w:sz w:val="22"/>
          <w:szCs w:val="22"/>
          <w:lang w:val="en-GB"/>
        </w:rPr>
        <w:t>selecting</w:t>
      </w:r>
      <w:proofErr w:type="gramEnd"/>
      <w:r>
        <w:rPr>
          <w:sz w:val="22"/>
          <w:szCs w:val="22"/>
          <w:lang w:val="en-GB"/>
        </w:rPr>
        <w:t xml:space="preserve"> and implementing contracts financed under this call for tenders, in conformity with the practical guide, (available on the internet at this address: </w:t>
      </w:r>
      <w:hyperlink r:id="rId8">
        <w:r>
          <w:rPr>
            <w:rStyle w:val="Kpr"/>
            <w:sz w:val="22"/>
            <w:szCs w:val="22"/>
            <w:lang w:val="en-GB"/>
          </w:rPr>
          <w:t>http://ec.europa.eu/europeaid/prag/document.do</w:t>
        </w:r>
      </w:hyperlink>
      <w:r>
        <w:rPr>
          <w:sz w:val="22"/>
          <w:szCs w:val="22"/>
          <w:lang w:val="en-GB"/>
        </w:rPr>
        <w:t xml:space="preserve"> ). </w:t>
      </w:r>
    </w:p>
    <w:p w14:paraId="3263CCE0" w14:textId="77777777" w:rsidR="00F14483" w:rsidRDefault="00F70834">
      <w:pPr>
        <w:keepNext/>
        <w:numPr>
          <w:ilvl w:val="0"/>
          <w:numId w:val="4"/>
        </w:numPr>
        <w:spacing w:before="120" w:after="120"/>
        <w:jc w:val="both"/>
        <w:rPr>
          <w:b/>
          <w:sz w:val="24"/>
          <w:szCs w:val="24"/>
        </w:rPr>
      </w:pPr>
      <w:r>
        <w:rPr>
          <w:b/>
          <w:sz w:val="24"/>
          <w:szCs w:val="24"/>
        </w:rPr>
        <w:t>Services to be provided</w:t>
      </w:r>
    </w:p>
    <w:p w14:paraId="39B76F3D" w14:textId="77777777" w:rsidR="00F14483" w:rsidRDefault="00F70834">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14:paraId="4D334409" w14:textId="77777777" w:rsidR="00F14483" w:rsidRDefault="00F70834">
      <w:pPr>
        <w:keepNext/>
        <w:numPr>
          <w:ilvl w:val="0"/>
          <w:numId w:val="4"/>
        </w:numPr>
        <w:spacing w:before="120" w:after="120"/>
        <w:jc w:val="both"/>
        <w:rPr>
          <w:b/>
          <w:sz w:val="24"/>
          <w:szCs w:val="24"/>
        </w:rPr>
      </w:pPr>
      <w:bookmarkStart w:id="0" w:name="_Ref499723935"/>
      <w:r>
        <w:rPr>
          <w:b/>
          <w:sz w:val="24"/>
          <w:szCs w:val="24"/>
        </w:rPr>
        <w:t>Timetable</w:t>
      </w:r>
      <w:bookmarkEnd w:id="0"/>
    </w:p>
    <w:tbl>
      <w:tblPr>
        <w:tblW w:w="8364" w:type="dxa"/>
        <w:tblInd w:w="109" w:type="dxa"/>
        <w:tblLayout w:type="fixed"/>
        <w:tblLook w:val="0000" w:firstRow="0" w:lastRow="0" w:firstColumn="0" w:lastColumn="0" w:noHBand="0" w:noVBand="0"/>
      </w:tblPr>
      <w:tblGrid>
        <w:gridCol w:w="4820"/>
        <w:gridCol w:w="1972"/>
        <w:gridCol w:w="1572"/>
      </w:tblGrid>
      <w:tr w:rsidR="00F14483" w14:paraId="721EE4DC" w14:textId="77777777">
        <w:tc>
          <w:tcPr>
            <w:tcW w:w="4820" w:type="dxa"/>
            <w:tcBorders>
              <w:top w:val="single" w:sz="4" w:space="0" w:color="000000"/>
              <w:left w:val="single" w:sz="4" w:space="0" w:color="000000"/>
              <w:right w:val="single" w:sz="4" w:space="0" w:color="000000"/>
            </w:tcBorders>
          </w:tcPr>
          <w:p w14:paraId="42C5F50C" w14:textId="77777777" w:rsidR="00F14483" w:rsidRDefault="00F14483">
            <w:pPr>
              <w:widowControl w:val="0"/>
              <w:rPr>
                <w:sz w:val="22"/>
                <w:szCs w:val="22"/>
              </w:rPr>
            </w:pPr>
          </w:p>
        </w:tc>
        <w:tc>
          <w:tcPr>
            <w:tcW w:w="1972" w:type="dxa"/>
            <w:tcBorders>
              <w:top w:val="single" w:sz="4" w:space="0" w:color="000000"/>
              <w:left w:val="single" w:sz="4" w:space="0" w:color="000000"/>
              <w:bottom w:val="single" w:sz="4" w:space="0" w:color="000000"/>
              <w:right w:val="single" w:sz="4" w:space="0" w:color="000000"/>
            </w:tcBorders>
            <w:shd w:val="pct10" w:color="auto" w:fill="FFFFFF"/>
          </w:tcPr>
          <w:p w14:paraId="3F5696CA" w14:textId="77777777" w:rsidR="00F14483" w:rsidRDefault="00F70834">
            <w:pPr>
              <w:widowControl w:val="0"/>
              <w:jc w:val="center"/>
              <w:rPr>
                <w:b/>
                <w:sz w:val="22"/>
                <w:szCs w:val="22"/>
              </w:rPr>
            </w:pPr>
            <w:r>
              <w:rPr>
                <w:b/>
                <w:sz w:val="22"/>
                <w:szCs w:val="22"/>
              </w:rPr>
              <w:t>DATE</w:t>
            </w:r>
          </w:p>
        </w:tc>
        <w:tc>
          <w:tcPr>
            <w:tcW w:w="1572" w:type="dxa"/>
            <w:tcBorders>
              <w:top w:val="single" w:sz="4" w:space="0" w:color="000000"/>
              <w:left w:val="single" w:sz="4" w:space="0" w:color="000000"/>
              <w:right w:val="single" w:sz="4" w:space="0" w:color="000000"/>
            </w:tcBorders>
            <w:shd w:val="pct10" w:color="auto" w:fill="FFFFFF"/>
          </w:tcPr>
          <w:p w14:paraId="77E39D85" w14:textId="77777777" w:rsidR="00F14483" w:rsidRDefault="00F70834">
            <w:pPr>
              <w:widowControl w:val="0"/>
              <w:jc w:val="center"/>
              <w:rPr>
                <w:b/>
                <w:sz w:val="22"/>
                <w:szCs w:val="22"/>
              </w:rPr>
            </w:pPr>
            <w:r>
              <w:rPr>
                <w:b/>
                <w:sz w:val="22"/>
                <w:szCs w:val="22"/>
              </w:rPr>
              <w:t>TIME*</w:t>
            </w:r>
          </w:p>
        </w:tc>
      </w:tr>
      <w:tr w:rsidR="00F14483" w14:paraId="6EC074B2"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63EBB58" w14:textId="77777777" w:rsidR="00F14483" w:rsidRDefault="00F70834">
            <w:pPr>
              <w:widowControl w:val="0"/>
              <w:spacing w:before="120" w:after="120"/>
              <w:rPr>
                <w:b/>
                <w:sz w:val="22"/>
                <w:szCs w:val="22"/>
              </w:rPr>
            </w:pPr>
            <w:r>
              <w:rPr>
                <w:b/>
                <w:sz w:val="22"/>
                <w:szCs w:val="22"/>
              </w:rPr>
              <w:t>Deadline for requesting clarification from the contracting authority</w:t>
            </w:r>
          </w:p>
        </w:tc>
        <w:tc>
          <w:tcPr>
            <w:tcW w:w="1972" w:type="dxa"/>
            <w:tcBorders>
              <w:top w:val="single" w:sz="4" w:space="0" w:color="000000"/>
              <w:left w:val="single" w:sz="4" w:space="0" w:color="000000"/>
              <w:bottom w:val="single" w:sz="4" w:space="0" w:color="000000"/>
              <w:right w:val="single" w:sz="4" w:space="0" w:color="000000"/>
            </w:tcBorders>
          </w:tcPr>
          <w:p w14:paraId="4FA5D657" w14:textId="125AD5C1" w:rsidR="00F14483" w:rsidRDefault="00F70834">
            <w:pPr>
              <w:widowControl w:val="0"/>
              <w:spacing w:before="120" w:after="120"/>
              <w:jc w:val="center"/>
              <w:rPr>
                <w:sz w:val="22"/>
                <w:szCs w:val="22"/>
              </w:rPr>
            </w:pPr>
            <w:r>
              <w:rPr>
                <w:sz w:val="22"/>
                <w:szCs w:val="22"/>
              </w:rPr>
              <w:t>2</w:t>
            </w:r>
            <w:r w:rsidR="00943FB8">
              <w:rPr>
                <w:sz w:val="22"/>
                <w:szCs w:val="22"/>
              </w:rPr>
              <w:t>2</w:t>
            </w:r>
            <w:r>
              <w:rPr>
                <w:sz w:val="22"/>
                <w:szCs w:val="22"/>
              </w:rPr>
              <w:t>/04/2022</w:t>
            </w:r>
          </w:p>
        </w:tc>
        <w:tc>
          <w:tcPr>
            <w:tcW w:w="1572" w:type="dxa"/>
            <w:tcBorders>
              <w:top w:val="single" w:sz="4" w:space="0" w:color="000000"/>
              <w:left w:val="single" w:sz="4" w:space="0" w:color="000000"/>
              <w:bottom w:val="single" w:sz="4" w:space="0" w:color="000000"/>
              <w:right w:val="single" w:sz="4" w:space="0" w:color="000000"/>
            </w:tcBorders>
          </w:tcPr>
          <w:p w14:paraId="281CAA5D" w14:textId="282453CF" w:rsidR="00F14483" w:rsidRDefault="00F70834">
            <w:pPr>
              <w:widowControl w:val="0"/>
              <w:spacing w:before="120" w:after="120"/>
              <w:jc w:val="center"/>
              <w:rPr>
                <w:sz w:val="22"/>
                <w:szCs w:val="22"/>
              </w:rPr>
            </w:pPr>
            <w:r w:rsidRPr="00E42206">
              <w:rPr>
                <w:sz w:val="22"/>
                <w:szCs w:val="22"/>
              </w:rPr>
              <w:t>17.00</w:t>
            </w:r>
          </w:p>
        </w:tc>
      </w:tr>
      <w:tr w:rsidR="00F14483" w14:paraId="5B723D8F"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6849B25E" w14:textId="77777777" w:rsidR="00F14483" w:rsidRDefault="00F70834">
            <w:pPr>
              <w:widowControl w:val="0"/>
              <w:spacing w:before="120" w:after="120"/>
              <w:rPr>
                <w:b/>
                <w:sz w:val="22"/>
                <w:szCs w:val="22"/>
              </w:rPr>
            </w:pPr>
            <w:r>
              <w:rPr>
                <w:b/>
                <w:sz w:val="22"/>
                <w:szCs w:val="22"/>
              </w:rPr>
              <w:t>Last date for the contracting authority to issue clarification</w:t>
            </w:r>
          </w:p>
        </w:tc>
        <w:tc>
          <w:tcPr>
            <w:tcW w:w="1972" w:type="dxa"/>
            <w:tcBorders>
              <w:top w:val="single" w:sz="4" w:space="0" w:color="000000"/>
              <w:left w:val="single" w:sz="4" w:space="0" w:color="000000"/>
              <w:bottom w:val="single" w:sz="4" w:space="0" w:color="000000"/>
              <w:right w:val="single" w:sz="4" w:space="0" w:color="000000"/>
            </w:tcBorders>
          </w:tcPr>
          <w:p w14:paraId="6E4CBAF4" w14:textId="6F3CD7E1" w:rsidR="00F14483" w:rsidRDefault="00F70834">
            <w:pPr>
              <w:widowControl w:val="0"/>
              <w:spacing w:before="120" w:after="120"/>
              <w:jc w:val="center"/>
              <w:rPr>
                <w:sz w:val="22"/>
                <w:szCs w:val="22"/>
              </w:rPr>
            </w:pPr>
            <w:r>
              <w:rPr>
                <w:sz w:val="22"/>
                <w:szCs w:val="22"/>
              </w:rPr>
              <w:t>2</w:t>
            </w:r>
            <w:r w:rsidR="00943FB8">
              <w:rPr>
                <w:sz w:val="22"/>
                <w:szCs w:val="22"/>
              </w:rPr>
              <w:t>9</w:t>
            </w:r>
            <w:r>
              <w:rPr>
                <w:sz w:val="22"/>
                <w:szCs w:val="22"/>
              </w:rPr>
              <w:t>/04/2022</w:t>
            </w:r>
          </w:p>
        </w:tc>
        <w:tc>
          <w:tcPr>
            <w:tcW w:w="1572" w:type="dxa"/>
            <w:tcBorders>
              <w:top w:val="single" w:sz="4" w:space="0" w:color="000000"/>
              <w:left w:val="single" w:sz="4" w:space="0" w:color="000000"/>
              <w:bottom w:val="single" w:sz="4" w:space="0" w:color="000000"/>
              <w:right w:val="single" w:sz="4" w:space="0" w:color="000000"/>
            </w:tcBorders>
          </w:tcPr>
          <w:p w14:paraId="10AD17AF" w14:textId="77777777" w:rsidR="00F14483" w:rsidRDefault="00F70834">
            <w:pPr>
              <w:widowControl w:val="0"/>
              <w:spacing w:before="120" w:after="120"/>
              <w:jc w:val="center"/>
              <w:rPr>
                <w:sz w:val="22"/>
                <w:szCs w:val="22"/>
              </w:rPr>
            </w:pPr>
            <w:r>
              <w:rPr>
                <w:sz w:val="22"/>
                <w:szCs w:val="22"/>
              </w:rPr>
              <w:t>17.00</w:t>
            </w:r>
          </w:p>
        </w:tc>
      </w:tr>
      <w:tr w:rsidR="00F14483" w14:paraId="63C894A6"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48B07E80" w14:textId="77777777" w:rsidR="00F14483" w:rsidRDefault="00F70834">
            <w:pPr>
              <w:widowControl w:val="0"/>
              <w:spacing w:before="120" w:after="120"/>
              <w:rPr>
                <w:b/>
                <w:sz w:val="22"/>
                <w:szCs w:val="22"/>
              </w:rPr>
            </w:pPr>
            <w:r>
              <w:rPr>
                <w:b/>
                <w:sz w:val="22"/>
                <w:szCs w:val="22"/>
              </w:rPr>
              <w:t>Deadline for submitting tenders</w:t>
            </w:r>
          </w:p>
        </w:tc>
        <w:tc>
          <w:tcPr>
            <w:tcW w:w="1972" w:type="dxa"/>
            <w:tcBorders>
              <w:top w:val="single" w:sz="4" w:space="0" w:color="000000"/>
              <w:left w:val="single" w:sz="4" w:space="0" w:color="000000"/>
              <w:bottom w:val="single" w:sz="4" w:space="0" w:color="000000"/>
              <w:right w:val="single" w:sz="4" w:space="0" w:color="000000"/>
            </w:tcBorders>
          </w:tcPr>
          <w:p w14:paraId="35F1CF64" w14:textId="09FAD377" w:rsidR="00F14483" w:rsidRDefault="00F70834">
            <w:pPr>
              <w:widowControl w:val="0"/>
              <w:spacing w:before="120" w:after="120"/>
              <w:jc w:val="center"/>
              <w:rPr>
                <w:sz w:val="22"/>
                <w:szCs w:val="22"/>
              </w:rPr>
            </w:pPr>
            <w:r>
              <w:rPr>
                <w:sz w:val="22"/>
                <w:szCs w:val="22"/>
              </w:rPr>
              <w:t>0</w:t>
            </w:r>
            <w:r w:rsidR="00943FB8">
              <w:rPr>
                <w:sz w:val="22"/>
                <w:szCs w:val="22"/>
              </w:rPr>
              <w:t>9</w:t>
            </w:r>
            <w:r>
              <w:rPr>
                <w:sz w:val="22"/>
                <w:szCs w:val="22"/>
              </w:rPr>
              <w:t>.05.2022</w:t>
            </w:r>
          </w:p>
        </w:tc>
        <w:tc>
          <w:tcPr>
            <w:tcW w:w="1572" w:type="dxa"/>
            <w:tcBorders>
              <w:top w:val="single" w:sz="4" w:space="0" w:color="000000"/>
              <w:left w:val="single" w:sz="4" w:space="0" w:color="000000"/>
              <w:bottom w:val="single" w:sz="4" w:space="0" w:color="000000"/>
              <w:right w:val="single" w:sz="4" w:space="0" w:color="000000"/>
            </w:tcBorders>
          </w:tcPr>
          <w:p w14:paraId="18ADEF78" w14:textId="23550EE4" w:rsidR="00F14483" w:rsidRDefault="00F70834">
            <w:pPr>
              <w:widowControl w:val="0"/>
              <w:spacing w:before="120" w:after="120"/>
              <w:jc w:val="center"/>
              <w:rPr>
                <w:sz w:val="22"/>
                <w:szCs w:val="22"/>
              </w:rPr>
            </w:pPr>
            <w:r>
              <w:rPr>
                <w:sz w:val="22"/>
                <w:szCs w:val="22"/>
              </w:rPr>
              <w:t>17.00</w:t>
            </w:r>
          </w:p>
        </w:tc>
      </w:tr>
      <w:tr w:rsidR="00F14483" w14:paraId="2A6C60E8"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0FB9E24" w14:textId="77777777" w:rsidR="00F14483" w:rsidRDefault="00F70834">
            <w:pPr>
              <w:widowControl w:val="0"/>
              <w:spacing w:before="120" w:after="120"/>
              <w:rPr>
                <w:b/>
                <w:sz w:val="22"/>
                <w:szCs w:val="22"/>
              </w:rPr>
            </w:pPr>
            <w:r>
              <w:rPr>
                <w:b/>
                <w:sz w:val="22"/>
                <w:szCs w:val="22"/>
              </w:rPr>
              <w:t>Interviews (if any)</w:t>
            </w:r>
          </w:p>
        </w:tc>
        <w:tc>
          <w:tcPr>
            <w:tcW w:w="1972" w:type="dxa"/>
            <w:tcBorders>
              <w:top w:val="single" w:sz="4" w:space="0" w:color="000000"/>
              <w:left w:val="single" w:sz="4" w:space="0" w:color="000000"/>
              <w:bottom w:val="single" w:sz="4" w:space="0" w:color="000000"/>
              <w:right w:val="single" w:sz="4" w:space="0" w:color="000000"/>
            </w:tcBorders>
          </w:tcPr>
          <w:p w14:paraId="6FEE8BE3" w14:textId="77777777" w:rsidR="00F14483" w:rsidRDefault="00F70834">
            <w:pPr>
              <w:widowControl w:val="0"/>
              <w:spacing w:before="120" w:after="120"/>
              <w:jc w:val="center"/>
              <w:rPr>
                <w:sz w:val="22"/>
                <w:szCs w:val="22"/>
              </w:rPr>
            </w:pPr>
            <w:r>
              <w:rPr>
                <w:sz w:val="22"/>
                <w:szCs w:val="22"/>
              </w:rPr>
              <w:t xml:space="preserve"> N/A</w:t>
            </w:r>
          </w:p>
        </w:tc>
        <w:tc>
          <w:tcPr>
            <w:tcW w:w="1572" w:type="dxa"/>
            <w:tcBorders>
              <w:top w:val="single" w:sz="4" w:space="0" w:color="000000"/>
              <w:left w:val="single" w:sz="4" w:space="0" w:color="000000"/>
              <w:bottom w:val="single" w:sz="4" w:space="0" w:color="000000"/>
              <w:right w:val="single" w:sz="4" w:space="0" w:color="000000"/>
            </w:tcBorders>
          </w:tcPr>
          <w:p w14:paraId="2D79883D" w14:textId="77777777" w:rsidR="00F14483" w:rsidRDefault="00F70834">
            <w:pPr>
              <w:widowControl w:val="0"/>
              <w:spacing w:before="120" w:after="120"/>
              <w:jc w:val="center"/>
              <w:rPr>
                <w:sz w:val="22"/>
                <w:szCs w:val="22"/>
              </w:rPr>
            </w:pPr>
            <w:r>
              <w:rPr>
                <w:sz w:val="22"/>
                <w:szCs w:val="22"/>
              </w:rPr>
              <w:t>-</w:t>
            </w:r>
          </w:p>
        </w:tc>
      </w:tr>
      <w:tr w:rsidR="00F14483" w14:paraId="5D245F9B"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1ACE6878" w14:textId="77777777" w:rsidR="00F14483" w:rsidRDefault="00F70834">
            <w:pPr>
              <w:widowControl w:val="0"/>
              <w:spacing w:before="120" w:after="120"/>
              <w:rPr>
                <w:b/>
                <w:sz w:val="22"/>
                <w:szCs w:val="22"/>
              </w:rPr>
            </w:pPr>
            <w:r>
              <w:rPr>
                <w:b/>
                <w:sz w:val="22"/>
                <w:szCs w:val="22"/>
              </w:rPr>
              <w:t>Completion date for evaluating technical offers</w:t>
            </w:r>
          </w:p>
        </w:tc>
        <w:tc>
          <w:tcPr>
            <w:tcW w:w="1972" w:type="dxa"/>
            <w:tcBorders>
              <w:top w:val="single" w:sz="4" w:space="0" w:color="000000"/>
              <w:left w:val="single" w:sz="4" w:space="0" w:color="000000"/>
              <w:bottom w:val="single" w:sz="4" w:space="0" w:color="000000"/>
              <w:right w:val="single" w:sz="4" w:space="0" w:color="000000"/>
            </w:tcBorders>
          </w:tcPr>
          <w:p w14:paraId="7B8A824E" w14:textId="094C1F98" w:rsidR="00F14483" w:rsidRDefault="00F70834">
            <w:pPr>
              <w:widowControl w:val="0"/>
              <w:spacing w:before="120" w:after="120"/>
              <w:jc w:val="center"/>
              <w:rPr>
                <w:sz w:val="22"/>
                <w:szCs w:val="22"/>
              </w:rPr>
            </w:pPr>
            <w:r>
              <w:rPr>
                <w:sz w:val="22"/>
                <w:szCs w:val="22"/>
              </w:rPr>
              <w:t>1</w:t>
            </w:r>
            <w:r w:rsidR="00943FB8">
              <w:rPr>
                <w:sz w:val="22"/>
                <w:szCs w:val="22"/>
              </w:rPr>
              <w:t>1</w:t>
            </w:r>
            <w:r>
              <w:rPr>
                <w:sz w:val="22"/>
                <w:szCs w:val="22"/>
              </w:rPr>
              <w:t>.05.2022</w:t>
            </w:r>
          </w:p>
        </w:tc>
        <w:tc>
          <w:tcPr>
            <w:tcW w:w="1572" w:type="dxa"/>
            <w:tcBorders>
              <w:top w:val="single" w:sz="4" w:space="0" w:color="000000"/>
              <w:left w:val="single" w:sz="4" w:space="0" w:color="000000"/>
              <w:bottom w:val="single" w:sz="4" w:space="0" w:color="000000"/>
              <w:right w:val="single" w:sz="4" w:space="0" w:color="000000"/>
            </w:tcBorders>
          </w:tcPr>
          <w:p w14:paraId="0BB5EBD1" w14:textId="77777777" w:rsidR="00F14483" w:rsidRDefault="00F70834">
            <w:pPr>
              <w:widowControl w:val="0"/>
              <w:spacing w:before="120" w:after="120"/>
              <w:jc w:val="center"/>
              <w:rPr>
                <w:sz w:val="22"/>
                <w:szCs w:val="22"/>
              </w:rPr>
            </w:pPr>
            <w:r>
              <w:rPr>
                <w:sz w:val="22"/>
                <w:szCs w:val="22"/>
              </w:rPr>
              <w:t>-</w:t>
            </w:r>
          </w:p>
        </w:tc>
      </w:tr>
      <w:tr w:rsidR="00F14483" w14:paraId="0F99E02D"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57749D5E" w14:textId="77777777" w:rsidR="00F14483" w:rsidRDefault="00F70834">
            <w:pPr>
              <w:widowControl w:val="0"/>
              <w:spacing w:before="120" w:after="120"/>
              <w:rPr>
                <w:b/>
                <w:sz w:val="22"/>
                <w:szCs w:val="22"/>
              </w:rPr>
            </w:pPr>
            <w:r>
              <w:rPr>
                <w:b/>
                <w:sz w:val="22"/>
                <w:szCs w:val="22"/>
              </w:rPr>
              <w:t>Notification of award</w:t>
            </w:r>
          </w:p>
        </w:tc>
        <w:tc>
          <w:tcPr>
            <w:tcW w:w="1972" w:type="dxa"/>
            <w:tcBorders>
              <w:top w:val="single" w:sz="4" w:space="0" w:color="000000"/>
              <w:left w:val="single" w:sz="4" w:space="0" w:color="000000"/>
              <w:bottom w:val="single" w:sz="4" w:space="0" w:color="000000"/>
              <w:right w:val="single" w:sz="4" w:space="0" w:color="000000"/>
            </w:tcBorders>
          </w:tcPr>
          <w:p w14:paraId="2FC5F3BE" w14:textId="5ADF9212" w:rsidR="00F14483" w:rsidRDefault="00F70834">
            <w:pPr>
              <w:widowControl w:val="0"/>
              <w:spacing w:before="120" w:after="120"/>
              <w:jc w:val="center"/>
              <w:rPr>
                <w:sz w:val="22"/>
                <w:szCs w:val="22"/>
              </w:rPr>
            </w:pPr>
            <w:r>
              <w:rPr>
                <w:sz w:val="22"/>
                <w:szCs w:val="22"/>
              </w:rPr>
              <w:t>1</w:t>
            </w:r>
            <w:r w:rsidR="00943FB8">
              <w:rPr>
                <w:sz w:val="22"/>
                <w:szCs w:val="22"/>
              </w:rPr>
              <w:t>3</w:t>
            </w:r>
            <w:r>
              <w:rPr>
                <w:sz w:val="22"/>
                <w:szCs w:val="22"/>
              </w:rPr>
              <w:t>.05.2022</w:t>
            </w:r>
          </w:p>
        </w:tc>
        <w:tc>
          <w:tcPr>
            <w:tcW w:w="1572" w:type="dxa"/>
            <w:tcBorders>
              <w:top w:val="single" w:sz="4" w:space="0" w:color="000000"/>
              <w:left w:val="single" w:sz="4" w:space="0" w:color="000000"/>
              <w:bottom w:val="single" w:sz="4" w:space="0" w:color="000000"/>
              <w:right w:val="single" w:sz="4" w:space="0" w:color="000000"/>
            </w:tcBorders>
          </w:tcPr>
          <w:p w14:paraId="58249CA2" w14:textId="77777777" w:rsidR="00F14483" w:rsidRDefault="00F70834">
            <w:pPr>
              <w:widowControl w:val="0"/>
              <w:spacing w:before="120" w:after="120"/>
              <w:jc w:val="center"/>
              <w:rPr>
                <w:sz w:val="22"/>
                <w:szCs w:val="22"/>
              </w:rPr>
            </w:pPr>
            <w:r>
              <w:rPr>
                <w:sz w:val="22"/>
                <w:szCs w:val="22"/>
              </w:rPr>
              <w:t>-</w:t>
            </w:r>
          </w:p>
        </w:tc>
      </w:tr>
      <w:tr w:rsidR="00F14483" w14:paraId="003A5E25"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1D39D25A" w14:textId="77777777" w:rsidR="00F14483" w:rsidRDefault="00F70834">
            <w:pPr>
              <w:widowControl w:val="0"/>
              <w:spacing w:before="120" w:after="120"/>
              <w:rPr>
                <w:b/>
                <w:sz w:val="22"/>
                <w:szCs w:val="22"/>
              </w:rPr>
            </w:pPr>
            <w:r>
              <w:rPr>
                <w:b/>
                <w:sz w:val="22"/>
                <w:szCs w:val="22"/>
              </w:rPr>
              <w:t>Contract signature</w:t>
            </w:r>
          </w:p>
        </w:tc>
        <w:tc>
          <w:tcPr>
            <w:tcW w:w="1972" w:type="dxa"/>
            <w:tcBorders>
              <w:top w:val="single" w:sz="4" w:space="0" w:color="000000"/>
              <w:left w:val="single" w:sz="4" w:space="0" w:color="000000"/>
              <w:bottom w:val="single" w:sz="4" w:space="0" w:color="000000"/>
              <w:right w:val="single" w:sz="4" w:space="0" w:color="000000"/>
            </w:tcBorders>
          </w:tcPr>
          <w:p w14:paraId="4E477C6B" w14:textId="0D7BE1D4" w:rsidR="00F14483" w:rsidRDefault="00943FB8">
            <w:pPr>
              <w:widowControl w:val="0"/>
              <w:spacing w:before="120" w:after="120"/>
              <w:jc w:val="center"/>
              <w:rPr>
                <w:sz w:val="22"/>
                <w:szCs w:val="22"/>
              </w:rPr>
            </w:pPr>
            <w:r>
              <w:rPr>
                <w:sz w:val="22"/>
                <w:szCs w:val="22"/>
              </w:rPr>
              <w:t>19</w:t>
            </w:r>
            <w:r w:rsidR="00F70834">
              <w:rPr>
                <w:sz w:val="22"/>
                <w:szCs w:val="22"/>
              </w:rPr>
              <w:t>.05.2022</w:t>
            </w:r>
          </w:p>
        </w:tc>
        <w:tc>
          <w:tcPr>
            <w:tcW w:w="1572" w:type="dxa"/>
            <w:tcBorders>
              <w:top w:val="single" w:sz="4" w:space="0" w:color="000000"/>
              <w:left w:val="single" w:sz="4" w:space="0" w:color="000000"/>
              <w:bottom w:val="single" w:sz="4" w:space="0" w:color="000000"/>
              <w:right w:val="single" w:sz="4" w:space="0" w:color="000000"/>
            </w:tcBorders>
          </w:tcPr>
          <w:p w14:paraId="277CF7C7" w14:textId="77777777" w:rsidR="00F14483" w:rsidRDefault="00F70834">
            <w:pPr>
              <w:widowControl w:val="0"/>
              <w:spacing w:before="120" w:after="120"/>
              <w:jc w:val="center"/>
              <w:rPr>
                <w:sz w:val="22"/>
                <w:szCs w:val="22"/>
              </w:rPr>
            </w:pPr>
            <w:r>
              <w:rPr>
                <w:sz w:val="22"/>
                <w:szCs w:val="22"/>
              </w:rPr>
              <w:t>-</w:t>
            </w:r>
          </w:p>
        </w:tc>
      </w:tr>
      <w:tr w:rsidR="00F14483" w14:paraId="5B842258"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5A3A648B" w14:textId="77777777" w:rsidR="00F14483" w:rsidRDefault="00F70834">
            <w:pPr>
              <w:widowControl w:val="0"/>
              <w:spacing w:before="120" w:after="120"/>
              <w:rPr>
                <w:b/>
                <w:sz w:val="22"/>
                <w:szCs w:val="22"/>
              </w:rPr>
            </w:pPr>
            <w:r>
              <w:rPr>
                <w:b/>
                <w:sz w:val="22"/>
                <w:szCs w:val="22"/>
              </w:rPr>
              <w:t>Start date</w:t>
            </w:r>
          </w:p>
        </w:tc>
        <w:tc>
          <w:tcPr>
            <w:tcW w:w="1972" w:type="dxa"/>
            <w:tcBorders>
              <w:top w:val="single" w:sz="4" w:space="0" w:color="000000"/>
              <w:left w:val="single" w:sz="4" w:space="0" w:color="000000"/>
              <w:bottom w:val="single" w:sz="4" w:space="0" w:color="000000"/>
              <w:right w:val="single" w:sz="4" w:space="0" w:color="000000"/>
            </w:tcBorders>
          </w:tcPr>
          <w:p w14:paraId="0D2FFDB2" w14:textId="7E3B9728" w:rsidR="00F14483" w:rsidRDefault="00943FB8">
            <w:pPr>
              <w:widowControl w:val="0"/>
              <w:spacing w:before="120" w:after="120"/>
              <w:jc w:val="center"/>
              <w:rPr>
                <w:sz w:val="22"/>
                <w:szCs w:val="22"/>
              </w:rPr>
            </w:pPr>
            <w:r>
              <w:rPr>
                <w:sz w:val="22"/>
                <w:szCs w:val="22"/>
              </w:rPr>
              <w:t>20</w:t>
            </w:r>
            <w:r w:rsidR="00F70834">
              <w:rPr>
                <w:sz w:val="22"/>
                <w:szCs w:val="22"/>
              </w:rPr>
              <w:t>.05.2022</w:t>
            </w:r>
          </w:p>
        </w:tc>
        <w:tc>
          <w:tcPr>
            <w:tcW w:w="1572" w:type="dxa"/>
            <w:tcBorders>
              <w:top w:val="single" w:sz="4" w:space="0" w:color="000000"/>
              <w:left w:val="single" w:sz="4" w:space="0" w:color="000000"/>
              <w:bottom w:val="single" w:sz="4" w:space="0" w:color="000000"/>
              <w:right w:val="single" w:sz="4" w:space="0" w:color="000000"/>
            </w:tcBorders>
          </w:tcPr>
          <w:p w14:paraId="05244553" w14:textId="77777777" w:rsidR="00F14483" w:rsidRDefault="00F70834">
            <w:pPr>
              <w:widowControl w:val="0"/>
              <w:spacing w:before="120" w:after="120"/>
              <w:jc w:val="center"/>
              <w:rPr>
                <w:sz w:val="22"/>
                <w:szCs w:val="22"/>
              </w:rPr>
            </w:pPr>
            <w:r>
              <w:rPr>
                <w:sz w:val="22"/>
                <w:szCs w:val="22"/>
              </w:rPr>
              <w:t>-</w:t>
            </w:r>
          </w:p>
        </w:tc>
      </w:tr>
    </w:tbl>
    <w:p w14:paraId="772675B6" w14:textId="77777777" w:rsidR="00F14483" w:rsidRDefault="00F70834">
      <w:pPr>
        <w:spacing w:before="120" w:after="240"/>
        <w:rPr>
          <w:b/>
          <w:sz w:val="22"/>
          <w:szCs w:val="22"/>
        </w:rPr>
      </w:pPr>
      <w:r>
        <w:rPr>
          <w:b/>
          <w:sz w:val="22"/>
          <w:szCs w:val="22"/>
        </w:rPr>
        <w:t>* All times are in the time zone of the country of the contracting authority</w:t>
      </w:r>
      <w:r>
        <w:rPr>
          <w:b/>
          <w:sz w:val="22"/>
          <w:szCs w:val="22"/>
        </w:rPr>
        <w:br/>
      </w:r>
      <w:r>
        <w:rPr>
          <w:rFonts w:ascii="Monotype Sorts" w:eastAsia="Monotype Sorts" w:hAnsi="Monotype Sorts" w:cs="Monotype Sorts"/>
          <w:sz w:val="22"/>
          <w:szCs w:val="22"/>
          <w:vertAlign w:val="superscript"/>
        </w:rPr>
        <w:t></w:t>
      </w:r>
      <w:r>
        <w:rPr>
          <w:sz w:val="22"/>
          <w:szCs w:val="22"/>
          <w:vertAlign w:val="superscript"/>
        </w:rPr>
        <w:t xml:space="preserve"> </w:t>
      </w:r>
      <w:r>
        <w:rPr>
          <w:b/>
          <w:sz w:val="22"/>
          <w:szCs w:val="22"/>
        </w:rPr>
        <w:t>Provisional date</w:t>
      </w:r>
    </w:p>
    <w:p w14:paraId="197ECEF7" w14:textId="77777777" w:rsidR="00F14483" w:rsidRDefault="00F70834">
      <w:pPr>
        <w:keepNext/>
        <w:numPr>
          <w:ilvl w:val="0"/>
          <w:numId w:val="4"/>
        </w:numPr>
        <w:spacing w:before="120" w:after="120"/>
        <w:jc w:val="both"/>
        <w:rPr>
          <w:b/>
          <w:sz w:val="24"/>
          <w:szCs w:val="24"/>
        </w:rPr>
      </w:pPr>
      <w:bookmarkStart w:id="1" w:name="_Ref499615030"/>
      <w:r>
        <w:rPr>
          <w:b/>
          <w:sz w:val="24"/>
          <w:szCs w:val="24"/>
        </w:rPr>
        <w:t xml:space="preserve">Participation, </w:t>
      </w:r>
      <w:proofErr w:type="gramStart"/>
      <w:r>
        <w:rPr>
          <w:b/>
          <w:sz w:val="24"/>
          <w:szCs w:val="24"/>
        </w:rPr>
        <w:t>experts</w:t>
      </w:r>
      <w:proofErr w:type="gramEnd"/>
      <w:r>
        <w:rPr>
          <w:b/>
          <w:sz w:val="24"/>
          <w:szCs w:val="24"/>
        </w:rPr>
        <w:t xml:space="preserve"> and subcontracting</w:t>
      </w:r>
      <w:bookmarkEnd w:id="1"/>
    </w:p>
    <w:p w14:paraId="30D69959"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14:paraId="33C5A6FA"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hanging="286"/>
        <w:jc w:val="both"/>
        <w:rPr>
          <w:sz w:val="22"/>
          <w:szCs w:val="22"/>
        </w:rPr>
      </w:pPr>
      <w:r>
        <w:rPr>
          <w:sz w:val="22"/>
          <w:szCs w:val="22"/>
        </w:rPr>
        <w:t xml:space="preserve">Natural or legal persons are not entitled to participate in this tender procedure or be awarded a contract if they are in any of the </w:t>
      </w:r>
      <w:r>
        <w:rPr>
          <w:sz w:val="22"/>
        </w:rPr>
        <w:t>situations</w:t>
      </w:r>
      <w:r>
        <w:rPr>
          <w:sz w:val="22"/>
          <w:szCs w:val="22"/>
        </w:rPr>
        <w:t xml:space="preserve"> mentioned in Sections 2.4. (EU restrictive measures), 2.6.10.1.(exclusion criteria) or 2.6.10.1.2. (</w:t>
      </w:r>
      <w:proofErr w:type="gramStart"/>
      <w:r>
        <w:rPr>
          <w:sz w:val="22"/>
          <w:szCs w:val="22"/>
        </w:rPr>
        <w:t>rejection</w:t>
      </w:r>
      <w:proofErr w:type="gramEnd"/>
      <w:r>
        <w:rPr>
          <w:sz w:val="22"/>
          <w:szCs w:val="22"/>
        </w:rPr>
        <w:t xml:space="preserve"> from a given procedure) of the </w:t>
      </w:r>
      <w:r>
        <w:rPr>
          <w:b/>
          <w:sz w:val="22"/>
          <w:szCs w:val="22"/>
        </w:rPr>
        <w:t>practical guide</w:t>
      </w:r>
      <w:r>
        <w:rPr>
          <w:sz w:val="22"/>
          <w:szCs w:val="22"/>
        </w:rPr>
        <w:t>. Should they do so, their tender will be considered unsuitable or irregular respectively.</w:t>
      </w:r>
    </w:p>
    <w:p w14:paraId="40A38EC6"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This information may be published on the Commission website in accordance with the Financial Regulation in force. </w:t>
      </w:r>
    </w:p>
    <w:p w14:paraId="5DA9267B"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partner country. It is furthermore recommended that this contract contains a dispute resolution clause. </w:t>
      </w:r>
    </w:p>
    <w:p w14:paraId="3D3633BF"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hanging="286"/>
        <w:jc w:val="both"/>
      </w:pPr>
      <w:r>
        <w:rPr>
          <w:sz w:val="22"/>
          <w:szCs w:val="22"/>
        </w:rPr>
        <w:t xml:space="preserve">Subcontracting is allowed but the contractor will retain full liability towards the contracting authority for performance of the </w:t>
      </w:r>
      <w:proofErr w:type="gramStart"/>
      <w:r>
        <w:rPr>
          <w:sz w:val="22"/>
          <w:szCs w:val="22"/>
        </w:rPr>
        <w:t>contract as a whole</w:t>
      </w:r>
      <w:proofErr w:type="gramEnd"/>
      <w:r>
        <w:rPr>
          <w:sz w:val="22"/>
          <w:szCs w:val="22"/>
        </w:rPr>
        <w:t xml:space="preserve">. If the tenderer intends to subcontract one or more parts of the contracted services, this must be clearly stated in the organisation and methodology and the tender submission form. </w:t>
      </w:r>
    </w:p>
    <w:p w14:paraId="636BF1EA"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pPr>
      <w:r>
        <w:rPr>
          <w:sz w:val="22"/>
          <w:szCs w:val="22"/>
        </w:rPr>
        <w:t>All subcontractors and capacity providing entities must be eligible for the contract. If the identity of the intended subcontractor is already known at the time of submitting the tender, the tenderer must furnish a statement guaranteeing the eligibility of the subcontractor. If any subcontractor/capacity-providing entity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3F2C7B72"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Subcontractors and capacity providing entities cannot be in any of the exclusion situations listed in Section 2.6.10.1 of the practical guide.</w:t>
      </w:r>
    </w:p>
    <w:p w14:paraId="28888B4C" w14:textId="77777777" w:rsidR="00F14483" w:rsidRDefault="00F70834">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 xml:space="preserve">For the avoidance of doubt, where the experts are not directly employed or contracted by the tenderer/contractor but through a third party, the latter is a sub-contractor. </w:t>
      </w:r>
    </w:p>
    <w:p w14:paraId="1954B602" w14:textId="77777777" w:rsidR="00F14483" w:rsidRDefault="00F70834">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1140"/>
        <w:jc w:val="both"/>
        <w:rPr>
          <w:sz w:val="22"/>
          <w:szCs w:val="22"/>
        </w:rPr>
      </w:pPr>
      <w:r>
        <w:rPr>
          <w:sz w:val="22"/>
          <w:szCs w:val="22"/>
        </w:rPr>
        <w:t xml:space="preserve">Experts made available by any third party (sub-contractors) are considered for all purposes related to the present contract to be the personnel of the contractor. </w:t>
      </w:r>
    </w:p>
    <w:p w14:paraId="61D72492" w14:textId="77777777" w:rsidR="00F14483" w:rsidRDefault="00F70834">
      <w:pPr>
        <w:widowControl w:val="0"/>
        <w:numPr>
          <w:ilvl w:val="0"/>
          <w:numId w:val="4"/>
        </w:numPr>
        <w:spacing w:before="120" w:after="120"/>
        <w:jc w:val="both"/>
        <w:rPr>
          <w:b/>
          <w:sz w:val="24"/>
          <w:szCs w:val="24"/>
        </w:rPr>
      </w:pPr>
      <w:r>
        <w:rPr>
          <w:b/>
          <w:sz w:val="24"/>
          <w:szCs w:val="24"/>
        </w:rPr>
        <w:t>Content of tenders</w:t>
      </w:r>
    </w:p>
    <w:p w14:paraId="15A2D793" w14:textId="77777777" w:rsidR="00F14483" w:rsidRDefault="00F70834">
      <w:pPr>
        <w:pStyle w:val="Balk2"/>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14:paraId="2334D069" w14:textId="77777777" w:rsidR="00F14483" w:rsidRDefault="00F70834">
      <w:pPr>
        <w:pStyle w:val="Balk2"/>
        <w:keepNext w:val="0"/>
        <w:widowControl w:val="0"/>
        <w:tabs>
          <w:tab w:val="clear" w:pos="426"/>
        </w:tabs>
        <w:spacing w:before="120" w:after="120"/>
        <w:jc w:val="both"/>
        <w:rPr>
          <w:sz w:val="22"/>
          <w:szCs w:val="22"/>
          <w:lang w:val="en-GB"/>
        </w:rPr>
      </w:pPr>
      <w:r>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3C2C13DA" w14:textId="77777777" w:rsidR="00F14483" w:rsidRDefault="00F70834">
      <w:pPr>
        <w:widowControl w:val="0"/>
        <w:spacing w:before="120" w:after="120"/>
        <w:jc w:val="both"/>
        <w:rPr>
          <w:sz w:val="22"/>
          <w:szCs w:val="22"/>
        </w:rPr>
      </w:pPr>
      <w:r>
        <w:rPr>
          <w:sz w:val="22"/>
          <w:szCs w:val="22"/>
        </w:rPr>
        <w:t xml:space="preserve">The tender must include a technical offer and a financial offer, which must be submitted in separate envelopes (see clause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Each technical offer and financial offer must contain one original, clearly marked </w:t>
      </w:r>
      <w:r>
        <w:rPr>
          <w:b/>
          <w:sz w:val="22"/>
          <w:szCs w:val="22"/>
        </w:rPr>
        <w:t>‘Original’</w:t>
      </w:r>
      <w:r>
        <w:rPr>
          <w:sz w:val="22"/>
          <w:szCs w:val="22"/>
        </w:rPr>
        <w:t>, and one copy, each marked ‘</w:t>
      </w:r>
      <w:r>
        <w:rPr>
          <w:b/>
          <w:sz w:val="22"/>
          <w:szCs w:val="22"/>
        </w:rPr>
        <w:t>Copy’</w:t>
      </w:r>
      <w:r>
        <w:rPr>
          <w:sz w:val="22"/>
          <w:szCs w:val="22"/>
        </w:rPr>
        <w:t xml:space="preserve">. </w:t>
      </w:r>
    </w:p>
    <w:p w14:paraId="02026585" w14:textId="77777777" w:rsidR="00F14483" w:rsidRDefault="00F70834">
      <w:pPr>
        <w:widowControl w:val="0"/>
        <w:spacing w:before="120" w:after="120"/>
        <w:jc w:val="both"/>
        <w:rPr>
          <w:sz w:val="22"/>
          <w:szCs w:val="22"/>
        </w:rPr>
      </w:pPr>
      <w:r>
        <w:rPr>
          <w:sz w:val="22"/>
          <w:szCs w:val="22"/>
        </w:rPr>
        <w:t>The electronic version of the technical offer must be included with the printed version in the separate envelope in which the technical offer is submitted. The electronic version of the financial offer must be included with the printed version in the separate envelope in which the financial offer is submitted. If there are any discrepancies between the electronic version and the original, printed version, the latter has precedence.</w:t>
      </w:r>
    </w:p>
    <w:p w14:paraId="30FD5232" w14:textId="77777777" w:rsidR="00F14483" w:rsidRDefault="00F70834">
      <w:pPr>
        <w:widowControl w:val="0"/>
        <w:spacing w:before="120" w:after="120"/>
        <w:jc w:val="both"/>
        <w:rPr>
          <w:sz w:val="22"/>
          <w:szCs w:val="22"/>
        </w:rPr>
      </w:pPr>
      <w:r>
        <w:rPr>
          <w:sz w:val="22"/>
          <w:szCs w:val="22"/>
        </w:rPr>
        <w:t xml:space="preserve">Failure to fulfil the requirements in clauses 4.1, 4.2 and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will constitute an irregularity and may result in rejection of the tender.</w:t>
      </w:r>
    </w:p>
    <w:p w14:paraId="01470876" w14:textId="77777777" w:rsidR="00F14483" w:rsidRDefault="00F70834">
      <w:pPr>
        <w:widowControl w:val="0"/>
        <w:spacing w:before="120" w:after="120"/>
        <w:ind w:left="567" w:hanging="567"/>
        <w:jc w:val="both"/>
        <w:rPr>
          <w:b/>
          <w:sz w:val="22"/>
          <w:szCs w:val="22"/>
        </w:rPr>
      </w:pPr>
      <w:r>
        <w:rPr>
          <w:b/>
          <w:sz w:val="22"/>
          <w:szCs w:val="22"/>
        </w:rPr>
        <w:t>4.1.</w:t>
      </w:r>
      <w:r>
        <w:rPr>
          <w:b/>
          <w:sz w:val="22"/>
          <w:szCs w:val="22"/>
        </w:rPr>
        <w:tab/>
        <w:t>Technical offer</w:t>
      </w:r>
    </w:p>
    <w:p w14:paraId="1D1C3524" w14:textId="77777777" w:rsidR="00F14483" w:rsidRDefault="00F70834">
      <w:pPr>
        <w:widowControl w:val="0"/>
        <w:spacing w:before="120" w:after="120"/>
        <w:jc w:val="both"/>
        <w:rPr>
          <w:sz w:val="22"/>
          <w:szCs w:val="22"/>
        </w:rPr>
      </w:pPr>
      <w:r>
        <w:rPr>
          <w:sz w:val="22"/>
          <w:szCs w:val="22"/>
        </w:rPr>
        <w:t>The technical offer must include the following documents:</w:t>
      </w:r>
    </w:p>
    <w:p w14:paraId="5E2F683D" w14:textId="77777777" w:rsidR="00F14483" w:rsidRDefault="00F70834">
      <w:pPr>
        <w:widowControl w:val="0"/>
        <w:numPr>
          <w:ilvl w:val="0"/>
          <w:numId w:val="2"/>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5BBEE069" w14:textId="77777777" w:rsidR="00F14483" w:rsidRDefault="00F70834">
      <w:pPr>
        <w:numPr>
          <w:ilvl w:val="0"/>
          <w:numId w:val="5"/>
        </w:numPr>
        <w:tabs>
          <w:tab w:val="left" w:pos="927"/>
        </w:tabs>
        <w:spacing w:before="120" w:after="120"/>
        <w:ind w:left="927"/>
        <w:jc w:val="both"/>
        <w:rPr>
          <w:sz w:val="22"/>
          <w:szCs w:val="22"/>
        </w:rPr>
      </w:pPr>
      <w:r>
        <w:rPr>
          <w:sz w:val="22"/>
          <w:szCs w:val="22"/>
        </w:rPr>
        <w:t xml:space="preserve"> A signed</w:t>
      </w:r>
      <w:r>
        <w:rPr>
          <w:b/>
          <w:sz w:val="22"/>
          <w:szCs w:val="22"/>
        </w:rPr>
        <w:t xml:space="preserve"> declaration</w:t>
      </w:r>
      <w:r>
        <w:rPr>
          <w:sz w:val="22"/>
          <w:szCs w:val="22"/>
        </w:rPr>
        <w:t xml:space="preserve"> together with a signed "Declaration on honour on exclusion criteria and selection criteria"</w:t>
      </w:r>
      <w:r>
        <w:rPr>
          <w:rStyle w:val="FootnoteAnchor"/>
          <w:sz w:val="22"/>
          <w:szCs w:val="22"/>
        </w:rPr>
        <w:footnoteReference w:id="1"/>
      </w:r>
      <w:r>
        <w:rPr>
          <w:sz w:val="22"/>
          <w:szCs w:val="22"/>
        </w:rPr>
        <w:t xml:space="preserve"> from each legal entity identified in the tender submission form and from each sub-contractor and/or capacity providing entity, using the format attached to the tender submission form.</w:t>
      </w:r>
    </w:p>
    <w:p w14:paraId="44B4020C" w14:textId="77777777" w:rsidR="00F14483" w:rsidRDefault="00F70834">
      <w:pPr>
        <w:numPr>
          <w:ilvl w:val="0"/>
          <w:numId w:val="5"/>
        </w:numPr>
        <w:tabs>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the European </w:t>
      </w:r>
      <w:r>
        <w:rPr>
          <w:sz w:val="22"/>
          <w:szCs w:val="22"/>
        </w:rPr>
        <w:lastRenderedPageBreak/>
        <w:t>Commission, it may provide instead either its financial identification form number or a copy of the financial identification form provided on that occasion, unless it has changed in the meantime).</w:t>
      </w:r>
    </w:p>
    <w:p w14:paraId="48BF6166" w14:textId="77777777" w:rsidR="00F14483" w:rsidRDefault="00F70834">
      <w:pPr>
        <w:numPr>
          <w:ilvl w:val="0"/>
          <w:numId w:val="5"/>
        </w:numPr>
        <w:tabs>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1085421" w14:textId="77777777" w:rsidR="00F14483" w:rsidRDefault="00F70834">
      <w:pPr>
        <w:numPr>
          <w:ilvl w:val="0"/>
          <w:numId w:val="5"/>
        </w:numPr>
        <w:tabs>
          <w:tab w:val="left" w:pos="927"/>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67905A2A" w14:textId="77777777" w:rsidR="00F14483" w:rsidRDefault="00F70834">
      <w:pPr>
        <w:numPr>
          <w:ilvl w:val="0"/>
          <w:numId w:val="2"/>
        </w:numPr>
        <w:tabs>
          <w:tab w:val="left" w:pos="567"/>
        </w:tabs>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27DFF7EB" w14:textId="77777777" w:rsidR="00F14483" w:rsidRDefault="00F70834">
      <w:pPr>
        <w:numPr>
          <w:ilvl w:val="0"/>
          <w:numId w:val="2"/>
        </w:numPr>
        <w:tabs>
          <w:tab w:val="left" w:pos="567"/>
        </w:tabs>
        <w:spacing w:before="120" w:after="120"/>
        <w:ind w:left="567" w:hanging="567"/>
        <w:jc w:val="both"/>
        <w:rPr>
          <w:sz w:val="22"/>
          <w:szCs w:val="22"/>
        </w:rPr>
      </w:pPr>
      <w:r>
        <w:rPr>
          <w:sz w:val="22"/>
          <w:szCs w:val="22"/>
        </w:rPr>
        <w:t>No key experts are required for this contract</w:t>
      </w:r>
    </w:p>
    <w:p w14:paraId="5636B31C" w14:textId="77777777" w:rsidR="00F14483" w:rsidRDefault="00F70834">
      <w:pPr>
        <w:pStyle w:val="GvdeMetniGirintisi"/>
        <w:numPr>
          <w:ilvl w:val="0"/>
          <w:numId w:val="2"/>
        </w:numPr>
        <w:spacing w:before="120"/>
        <w:ind w:left="567" w:hanging="567"/>
        <w:rPr>
          <w:sz w:val="22"/>
          <w:szCs w:val="22"/>
        </w:rPr>
      </w:pPr>
      <w:r>
        <w:rPr>
          <w:sz w:val="22"/>
          <w:szCs w:val="22"/>
        </w:rPr>
        <w:t>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14:paraId="0B82109E" w14:textId="77777777" w:rsidR="00F14483" w:rsidRDefault="00F70834">
      <w:pPr>
        <w:pStyle w:val="GvdeMetniGirintisi"/>
        <w:tabs>
          <w:tab w:val="clear" w:pos="567"/>
        </w:tabs>
        <w:spacing w:before="120"/>
        <w:rPr>
          <w:sz w:val="22"/>
          <w:szCs w:val="22"/>
        </w:rPr>
      </w:pPr>
      <w:r>
        <w:rPr>
          <w:sz w:val="22"/>
          <w:szCs w:val="22"/>
        </w:rPr>
        <w:t xml:space="preserve"> </w:t>
      </w:r>
    </w:p>
    <w:p w14:paraId="17C42FE7" w14:textId="77777777" w:rsidR="00F14483" w:rsidRDefault="00F70834">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14:paraId="5C6E74BA" w14:textId="77777777" w:rsidR="00F14483" w:rsidRDefault="00F70834">
      <w:pPr>
        <w:keepNext/>
        <w:spacing w:before="120" w:after="120"/>
        <w:ind w:left="567" w:hanging="567"/>
        <w:jc w:val="both"/>
        <w:rPr>
          <w:b/>
          <w:sz w:val="22"/>
          <w:szCs w:val="22"/>
        </w:rPr>
      </w:pPr>
      <w:r>
        <w:rPr>
          <w:b/>
          <w:sz w:val="22"/>
          <w:szCs w:val="22"/>
        </w:rPr>
        <w:t>4.2.</w:t>
      </w:r>
      <w:r>
        <w:rPr>
          <w:b/>
          <w:sz w:val="22"/>
          <w:szCs w:val="22"/>
        </w:rPr>
        <w:tab/>
        <w:t>Financial offer</w:t>
      </w:r>
    </w:p>
    <w:p w14:paraId="1480EC2C" w14:textId="77777777" w:rsidR="00F14483" w:rsidRDefault="00F70834">
      <w:pPr>
        <w:shd w:val="clear" w:color="auto" w:fill="FFFFFF"/>
        <w:spacing w:before="120" w:after="120"/>
        <w:jc w:val="both"/>
      </w:pPr>
      <w:r>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30F11D57" w14:textId="77777777" w:rsidR="00F14483" w:rsidRDefault="009E725A">
      <w:pPr>
        <w:shd w:val="clear" w:color="auto" w:fill="FFFFFF"/>
        <w:spacing w:before="120" w:after="120"/>
        <w:jc w:val="both"/>
      </w:pPr>
      <w:hyperlink r:id="rId9">
        <w:r w:rsidR="00F70834">
          <w:rPr>
            <w:rStyle w:val="Kpr"/>
            <w:sz w:val="22"/>
            <w:szCs w:val="22"/>
          </w:rPr>
          <w:t>http://ec.europa.eu/europeaid/prag/document.do</w:t>
        </w:r>
      </w:hyperlink>
      <w:r w:rsidR="00F70834">
        <w:rPr>
          <w:sz w:val="22"/>
          <w:szCs w:val="22"/>
        </w:rPr>
        <w:t>.</w:t>
      </w:r>
    </w:p>
    <w:p w14:paraId="2CFF65C7" w14:textId="77777777" w:rsidR="00F14483" w:rsidRDefault="00F70834">
      <w:pPr>
        <w:shd w:val="clear" w:color="auto" w:fill="FFFFFF"/>
        <w:spacing w:before="120" w:after="120"/>
        <w:jc w:val="both"/>
      </w:pPr>
      <w:r>
        <w:rPr>
          <w:sz w:val="22"/>
          <w:szCs w:val="22"/>
        </w:rPr>
        <w:t>The global price may be broken down by outputs if required from the terms of reference.</w:t>
      </w:r>
    </w:p>
    <w:p w14:paraId="5CF04E98" w14:textId="09612126" w:rsidR="00F14483" w:rsidRDefault="00F70834">
      <w:pPr>
        <w:shd w:val="clear" w:color="auto" w:fill="FFFFFF"/>
        <w:spacing w:before="120" w:after="120"/>
        <w:jc w:val="both"/>
        <w:rPr>
          <w:sz w:val="22"/>
          <w:szCs w:val="22"/>
        </w:rPr>
      </w:pPr>
      <w:r>
        <w:rPr>
          <w:sz w:val="22"/>
          <w:szCs w:val="22"/>
        </w:rPr>
        <w:t>Tenderers are reminded that the maximum budget available for this contract, as stated in the contract notice, is 16</w:t>
      </w:r>
      <w:r w:rsidR="004477FA">
        <w:rPr>
          <w:sz w:val="22"/>
          <w:szCs w:val="22"/>
        </w:rPr>
        <w:t>.</w:t>
      </w:r>
      <w:r>
        <w:rPr>
          <w:sz w:val="22"/>
          <w:szCs w:val="22"/>
        </w:rPr>
        <w:t>212</w:t>
      </w:r>
      <w:r w:rsidR="004477FA">
        <w:rPr>
          <w:sz w:val="22"/>
          <w:szCs w:val="22"/>
        </w:rPr>
        <w:t>,</w:t>
      </w:r>
      <w:r>
        <w:rPr>
          <w:sz w:val="22"/>
          <w:szCs w:val="22"/>
        </w:rPr>
        <w:t xml:space="preserve">00 EUR. </w:t>
      </w:r>
    </w:p>
    <w:p w14:paraId="0A040C1E" w14:textId="77777777" w:rsidR="00F14483" w:rsidRDefault="00F70834">
      <w:pPr>
        <w:shd w:val="clear" w:color="auto" w:fill="FFFFFF"/>
        <w:spacing w:before="120" w:after="120"/>
        <w:jc w:val="both"/>
        <w:rPr>
          <w:sz w:val="22"/>
          <w:szCs w:val="22"/>
        </w:rPr>
      </w:pPr>
      <w:r>
        <w:rPr>
          <w:sz w:val="22"/>
          <w:szCs w:val="22"/>
        </w:rPr>
        <w:t>The applicable tax and customs arrangements are as follows:</w:t>
      </w:r>
    </w:p>
    <w:p w14:paraId="585187C8" w14:textId="77777777" w:rsidR="00F14483" w:rsidRDefault="00F70834">
      <w:pPr>
        <w:keepNext/>
        <w:shd w:val="clear" w:color="auto" w:fill="FFFFFF"/>
        <w:spacing w:before="120" w:after="120"/>
        <w:jc w:val="both"/>
        <w:rPr>
          <w:sz w:val="22"/>
          <w:szCs w:val="22"/>
          <w:u w:val="single"/>
        </w:rPr>
      </w:pPr>
      <w:r>
        <w:rPr>
          <w:sz w:val="22"/>
          <w:szCs w:val="22"/>
          <w:u w:val="single"/>
        </w:rPr>
        <w:t>Exemption of taxes</w:t>
      </w:r>
    </w:p>
    <w:p w14:paraId="4AD2D5ED" w14:textId="77777777" w:rsidR="00F14483" w:rsidRDefault="00F70834">
      <w:pPr>
        <w:spacing w:before="120"/>
        <w:jc w:val="both"/>
        <w:rPr>
          <w:sz w:val="22"/>
          <w:szCs w:val="22"/>
        </w:rPr>
      </w:pPr>
      <w:r>
        <w:rPr>
          <w:sz w:val="22"/>
          <w:szCs w:val="22"/>
        </w:rPr>
        <w:t xml:space="preserve">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1565CFE0" w14:textId="77777777" w:rsidR="00F14483" w:rsidRDefault="00F70834">
      <w:pPr>
        <w:keepNext/>
        <w:numPr>
          <w:ilvl w:val="0"/>
          <w:numId w:val="4"/>
        </w:numPr>
        <w:spacing w:before="120" w:after="120"/>
        <w:jc w:val="both"/>
        <w:rPr>
          <w:b/>
          <w:sz w:val="24"/>
          <w:szCs w:val="24"/>
        </w:rPr>
      </w:pPr>
      <w:r>
        <w:rPr>
          <w:b/>
          <w:sz w:val="24"/>
          <w:szCs w:val="24"/>
        </w:rPr>
        <w:t>Variant solutions</w:t>
      </w:r>
    </w:p>
    <w:p w14:paraId="7DE471A1" w14:textId="77777777" w:rsidR="00F14483" w:rsidRDefault="00F70834">
      <w:pPr>
        <w:spacing w:before="120" w:after="120"/>
        <w:rPr>
          <w:sz w:val="22"/>
          <w:szCs w:val="22"/>
        </w:rPr>
      </w:pPr>
      <w:r>
        <w:rPr>
          <w:sz w:val="22"/>
          <w:szCs w:val="22"/>
        </w:rPr>
        <w:t>Tenderers are not authorised to tender for a variant in addition to this tender.</w:t>
      </w:r>
    </w:p>
    <w:p w14:paraId="3FE8229A" w14:textId="77777777" w:rsidR="00F14483" w:rsidRDefault="00F70834">
      <w:pPr>
        <w:keepNext/>
        <w:keepLines/>
        <w:numPr>
          <w:ilvl w:val="0"/>
          <w:numId w:val="4"/>
        </w:numPr>
        <w:spacing w:before="120" w:after="120"/>
        <w:jc w:val="both"/>
        <w:rPr>
          <w:b/>
          <w:sz w:val="24"/>
          <w:szCs w:val="24"/>
        </w:rPr>
      </w:pPr>
      <w:r>
        <w:rPr>
          <w:b/>
          <w:sz w:val="24"/>
          <w:szCs w:val="24"/>
        </w:rPr>
        <w:lastRenderedPageBreak/>
        <w:t>Period during which tenders are binding</w:t>
      </w:r>
    </w:p>
    <w:p w14:paraId="47844430" w14:textId="77777777" w:rsidR="00F14483" w:rsidRDefault="00F70834">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3838C1E6" w14:textId="77777777" w:rsidR="00F14483" w:rsidRDefault="00F70834">
      <w:pPr>
        <w:pStyle w:val="GvdeMetni"/>
        <w:keepNext/>
        <w:keepLines/>
        <w:tabs>
          <w:tab w:val="left" w:pos="567"/>
        </w:tabs>
        <w:spacing w:before="120" w:after="120"/>
        <w:jc w:val="both"/>
      </w:pPr>
      <w:r>
        <w:rPr>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14:paraId="747373EF" w14:textId="77777777" w:rsidR="00F14483" w:rsidRDefault="00F70834">
      <w:pPr>
        <w:keepNext/>
        <w:numPr>
          <w:ilvl w:val="0"/>
          <w:numId w:val="4"/>
        </w:numPr>
        <w:spacing w:before="120" w:after="120"/>
        <w:jc w:val="both"/>
        <w:rPr>
          <w:b/>
          <w:sz w:val="24"/>
          <w:szCs w:val="24"/>
        </w:rPr>
      </w:pPr>
      <w:r>
        <w:rPr>
          <w:b/>
          <w:sz w:val="24"/>
          <w:szCs w:val="24"/>
        </w:rPr>
        <w:t>Additional information before the deadline for submitting tenders</w:t>
      </w:r>
    </w:p>
    <w:p w14:paraId="0C33A0CC" w14:textId="77777777" w:rsidR="00F14483" w:rsidRDefault="00F70834">
      <w:pPr>
        <w:keepNext/>
        <w:spacing w:before="120" w:after="120"/>
        <w:jc w:val="both"/>
        <w:rPr>
          <w:sz w:val="22"/>
          <w:szCs w:val="22"/>
        </w:rPr>
      </w:pPr>
      <w:r>
        <w:rPr>
          <w:sz w:val="22"/>
          <w:szCs w:val="22"/>
        </w:rPr>
        <w:t>Tenderers may submit questions in writing to the following address up to 15 days before the deadline for submission of tenders, specifying the publication reference and the contract title:</w:t>
      </w:r>
    </w:p>
    <w:p w14:paraId="33AC6716" w14:textId="77777777" w:rsidR="00F14483" w:rsidRDefault="00F70834">
      <w:pPr>
        <w:pStyle w:val="GvdeMetni"/>
        <w:spacing w:before="240"/>
        <w:rPr>
          <w:sz w:val="22"/>
          <w:szCs w:val="22"/>
        </w:rPr>
      </w:pPr>
      <w:r>
        <w:rPr>
          <w:sz w:val="22"/>
          <w:szCs w:val="22"/>
        </w:rPr>
        <w:t xml:space="preserve">Contact name: Emre ATILGAN  </w:t>
      </w:r>
    </w:p>
    <w:p w14:paraId="77FB7A93" w14:textId="77777777" w:rsidR="00F14483" w:rsidRDefault="00F70834">
      <w:pPr>
        <w:pStyle w:val="GvdeMetni"/>
        <w:spacing w:before="240"/>
        <w:rPr>
          <w:sz w:val="22"/>
          <w:szCs w:val="22"/>
        </w:rPr>
      </w:pPr>
      <w:r>
        <w:rPr>
          <w:sz w:val="22"/>
          <w:szCs w:val="22"/>
        </w:rPr>
        <w:t xml:space="preserve">Trakya University Rectorate, </w:t>
      </w:r>
      <w:r>
        <w:rPr>
          <w:rStyle w:val="normaltextrun"/>
          <w:color w:val="000000"/>
          <w:sz w:val="22"/>
          <w:szCs w:val="22"/>
          <w:shd w:val="clear" w:color="auto" w:fill="FFFFFF"/>
          <w:lang w:val="en-US"/>
        </w:rPr>
        <w:t>Balkan </w:t>
      </w:r>
      <w:proofErr w:type="spellStart"/>
      <w:r>
        <w:rPr>
          <w:rStyle w:val="spellingerror"/>
          <w:color w:val="000000"/>
          <w:sz w:val="22"/>
          <w:szCs w:val="22"/>
          <w:shd w:val="clear" w:color="auto" w:fill="FFFFFF"/>
          <w:lang w:val="en-US"/>
        </w:rPr>
        <w:t>Yerleşkesi</w:t>
      </w:r>
      <w:proofErr w:type="spellEnd"/>
      <w:r>
        <w:rPr>
          <w:rStyle w:val="normaltextrun"/>
          <w:color w:val="000000"/>
          <w:sz w:val="22"/>
          <w:szCs w:val="22"/>
          <w:shd w:val="clear" w:color="auto" w:fill="FFFFFF"/>
          <w:lang w:val="en-US"/>
        </w:rPr>
        <w:t> 22030, Edirne-Turkey</w:t>
      </w:r>
      <w:r>
        <w:rPr>
          <w:rStyle w:val="eop"/>
          <w:color w:val="000000"/>
          <w:sz w:val="22"/>
          <w:szCs w:val="22"/>
          <w:shd w:val="clear" w:color="auto" w:fill="FFFFFF"/>
        </w:rPr>
        <w:t xml:space="preserve">  </w:t>
      </w:r>
    </w:p>
    <w:p w14:paraId="059A5377" w14:textId="77777777" w:rsidR="00F14483" w:rsidRDefault="00F70834">
      <w:pPr>
        <w:pStyle w:val="GvdeMetni"/>
        <w:spacing w:before="240"/>
        <w:rPr>
          <w:sz w:val="22"/>
          <w:szCs w:val="22"/>
        </w:rPr>
      </w:pPr>
      <w:r>
        <w:rPr>
          <w:sz w:val="22"/>
          <w:szCs w:val="22"/>
        </w:rPr>
        <w:t xml:space="preserve">E-mail: emreatilgan@trakya.edu.tr  </w:t>
      </w:r>
    </w:p>
    <w:p w14:paraId="0C80ABAA" w14:textId="77777777" w:rsidR="00F14483" w:rsidRDefault="00F70834">
      <w:pPr>
        <w:pStyle w:val="GvdeMetni"/>
        <w:spacing w:before="240"/>
        <w:jc w:val="both"/>
      </w:pPr>
      <w:r>
        <w:rPr>
          <w:sz w:val="22"/>
          <w:szCs w:val="22"/>
        </w:rPr>
        <w:t xml:space="preserve">The contracting authority has no obligation to provide clarification after this date. Any clarification of the tender dossier will be communicated simultaneously to all tenderers at the latest 8 calendar days before the deadline for submitting tenders. </w:t>
      </w:r>
    </w:p>
    <w:p w14:paraId="3F464B69" w14:textId="77777777" w:rsidR="00F14483" w:rsidRDefault="00F70834">
      <w:pPr>
        <w:pStyle w:val="GvdeMetni"/>
        <w:spacing w:before="120" w:after="120"/>
        <w:jc w:val="both"/>
        <w:rPr>
          <w:sz w:val="22"/>
          <w:szCs w:val="22"/>
        </w:rPr>
      </w:pPr>
      <w:r>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6C7CCE5" w14:textId="77777777" w:rsidR="00F14483" w:rsidRDefault="00F70834">
      <w:pPr>
        <w:pStyle w:val="GvdeMetni"/>
        <w:spacing w:before="120" w:after="120"/>
        <w:jc w:val="both"/>
        <w:rPr>
          <w:sz w:val="22"/>
          <w:szCs w:val="22"/>
        </w:rPr>
      </w:pPr>
      <w:r>
        <w:rPr>
          <w:sz w:val="22"/>
          <w:szCs w:val="22"/>
        </w:rPr>
        <w:t xml:space="preserve">No information meeting or site visit is foreseen. </w:t>
      </w:r>
    </w:p>
    <w:p w14:paraId="3A0C2730" w14:textId="77777777" w:rsidR="00F14483" w:rsidRDefault="00F70834">
      <w:pPr>
        <w:keepNext/>
        <w:numPr>
          <w:ilvl w:val="0"/>
          <w:numId w:val="4"/>
        </w:numPr>
        <w:spacing w:before="120" w:after="120"/>
        <w:jc w:val="both"/>
        <w:rPr>
          <w:b/>
          <w:sz w:val="24"/>
          <w:szCs w:val="24"/>
        </w:rPr>
      </w:pPr>
      <w:bookmarkStart w:id="2" w:name="_Ref499614274"/>
      <w:bookmarkStart w:id="3" w:name="_Ref499982672"/>
      <w:r>
        <w:rPr>
          <w:b/>
          <w:sz w:val="24"/>
          <w:szCs w:val="24"/>
        </w:rPr>
        <w:t>Submission of tenders</w:t>
      </w:r>
      <w:bookmarkEnd w:id="2"/>
      <w:bookmarkEnd w:id="3"/>
    </w:p>
    <w:p w14:paraId="7F48268A" w14:textId="5C4A8280" w:rsidR="00F14483" w:rsidRDefault="00F70834">
      <w:pPr>
        <w:spacing w:before="120" w:after="120"/>
        <w:jc w:val="both"/>
        <w:rPr>
          <w:sz w:val="22"/>
          <w:szCs w:val="22"/>
        </w:rPr>
      </w:pPr>
      <w:r>
        <w:rPr>
          <w:sz w:val="22"/>
          <w:szCs w:val="22"/>
        </w:rPr>
        <w:t xml:space="preserve">Tenders must be sent to the contracting authority </w:t>
      </w:r>
      <w:r>
        <w:rPr>
          <w:b/>
          <w:sz w:val="22"/>
          <w:szCs w:val="22"/>
        </w:rPr>
        <w:t xml:space="preserve"> </w:t>
      </w:r>
      <w:r>
        <w:rPr>
          <w:sz w:val="22"/>
          <w:szCs w:val="22"/>
        </w:rPr>
        <w:t>before 0</w:t>
      </w:r>
      <w:r w:rsidR="004477FA">
        <w:rPr>
          <w:sz w:val="22"/>
          <w:szCs w:val="22"/>
        </w:rPr>
        <w:t>9</w:t>
      </w:r>
      <w:r>
        <w:rPr>
          <w:sz w:val="22"/>
          <w:szCs w:val="22"/>
        </w:rPr>
        <w:t>.05.2022, 17.00 h. They must include the requested documents in clause 4 above and be sent:</w:t>
      </w:r>
    </w:p>
    <w:p w14:paraId="0DFB6EA0" w14:textId="77777777" w:rsidR="00F14483" w:rsidRDefault="00F70834">
      <w:pPr>
        <w:keepNext/>
        <w:keepLines/>
        <w:numPr>
          <w:ilvl w:val="0"/>
          <w:numId w:val="7"/>
        </w:numPr>
        <w:spacing w:before="120" w:after="120"/>
        <w:jc w:val="both"/>
        <w:rPr>
          <w:sz w:val="22"/>
          <w:szCs w:val="22"/>
        </w:rPr>
      </w:pPr>
      <w:r>
        <w:rPr>
          <w:b/>
          <w:sz w:val="22"/>
          <w:szCs w:val="22"/>
        </w:rPr>
        <w:t>EITHER</w:t>
      </w:r>
      <w:r>
        <w:rPr>
          <w:sz w:val="22"/>
          <w:szCs w:val="22"/>
        </w:rPr>
        <w:t xml:space="preserve"> by post or by courier service, in which case the evidence shall be constituted by the postmark or the date of the deposit slip</w:t>
      </w:r>
      <w:r>
        <w:rPr>
          <w:rStyle w:val="FootnoteAnchor"/>
          <w:sz w:val="22"/>
          <w:szCs w:val="22"/>
        </w:rPr>
        <w:footnoteReference w:id="2"/>
      </w:r>
      <w:r>
        <w:rPr>
          <w:sz w:val="22"/>
          <w:szCs w:val="22"/>
        </w:rPr>
        <w:t>, to:</w:t>
      </w:r>
    </w:p>
    <w:p w14:paraId="01CFB896" w14:textId="77777777" w:rsidR="00F14483" w:rsidRDefault="00F70834">
      <w:pPr>
        <w:numPr>
          <w:ilvl w:val="0"/>
          <w:numId w:val="7"/>
        </w:numPr>
        <w:spacing w:before="120" w:after="120"/>
        <w:jc w:val="both"/>
        <w:rPr>
          <w:sz w:val="22"/>
          <w:szCs w:val="22"/>
        </w:rPr>
      </w:pPr>
      <w:r>
        <w:rPr>
          <w:sz w:val="22"/>
          <w:szCs w:val="22"/>
          <w:lang w:eastAsia="en-US"/>
        </w:rPr>
        <w:t xml:space="preserve">Trakya University Rectorate, </w:t>
      </w:r>
      <w:proofErr w:type="spellStart"/>
      <w:r>
        <w:rPr>
          <w:sz w:val="22"/>
          <w:szCs w:val="22"/>
          <w:lang w:eastAsia="en-US"/>
        </w:rPr>
        <w:t>Teknoloji</w:t>
      </w:r>
      <w:proofErr w:type="spellEnd"/>
      <w:r>
        <w:rPr>
          <w:sz w:val="22"/>
          <w:szCs w:val="22"/>
          <w:lang w:eastAsia="en-US"/>
        </w:rPr>
        <w:t xml:space="preserve"> </w:t>
      </w:r>
      <w:proofErr w:type="spellStart"/>
      <w:r>
        <w:rPr>
          <w:sz w:val="22"/>
          <w:szCs w:val="22"/>
          <w:lang w:eastAsia="en-US"/>
        </w:rPr>
        <w:t>Transferi</w:t>
      </w:r>
      <w:proofErr w:type="spellEnd"/>
      <w:r>
        <w:rPr>
          <w:sz w:val="22"/>
          <w:szCs w:val="22"/>
          <w:lang w:eastAsia="en-US"/>
        </w:rPr>
        <w:t xml:space="preserve"> </w:t>
      </w:r>
      <w:proofErr w:type="spellStart"/>
      <w:r>
        <w:rPr>
          <w:sz w:val="22"/>
          <w:szCs w:val="22"/>
          <w:lang w:eastAsia="en-US"/>
        </w:rPr>
        <w:t>Uygulama</w:t>
      </w:r>
      <w:proofErr w:type="spellEnd"/>
      <w:r>
        <w:rPr>
          <w:sz w:val="22"/>
          <w:szCs w:val="22"/>
          <w:lang w:eastAsia="en-US"/>
        </w:rPr>
        <w:t xml:space="preserve"> </w:t>
      </w:r>
      <w:proofErr w:type="spellStart"/>
      <w:r>
        <w:rPr>
          <w:sz w:val="22"/>
          <w:szCs w:val="22"/>
          <w:lang w:eastAsia="en-US"/>
        </w:rPr>
        <w:t>ve</w:t>
      </w:r>
      <w:proofErr w:type="spellEnd"/>
      <w:r>
        <w:rPr>
          <w:sz w:val="22"/>
          <w:szCs w:val="22"/>
          <w:lang w:eastAsia="en-US"/>
        </w:rPr>
        <w:t xml:space="preserve"> </w:t>
      </w:r>
      <w:proofErr w:type="spellStart"/>
      <w:r>
        <w:rPr>
          <w:sz w:val="22"/>
          <w:szCs w:val="22"/>
          <w:lang w:eastAsia="en-US"/>
        </w:rPr>
        <w:t>Araştırma</w:t>
      </w:r>
      <w:proofErr w:type="spellEnd"/>
      <w:r>
        <w:rPr>
          <w:sz w:val="22"/>
          <w:szCs w:val="22"/>
          <w:lang w:eastAsia="en-US"/>
        </w:rPr>
        <w:t xml:space="preserve"> </w:t>
      </w:r>
      <w:proofErr w:type="spellStart"/>
      <w:r>
        <w:rPr>
          <w:sz w:val="22"/>
          <w:szCs w:val="22"/>
          <w:lang w:eastAsia="en-US"/>
        </w:rPr>
        <w:t>Merkezi</w:t>
      </w:r>
      <w:proofErr w:type="spellEnd"/>
      <w:r>
        <w:rPr>
          <w:sz w:val="22"/>
          <w:szCs w:val="22"/>
          <w:lang w:eastAsia="en-US"/>
        </w:rPr>
        <w:t xml:space="preserve">, Balkan </w:t>
      </w:r>
      <w:proofErr w:type="spellStart"/>
      <w:r>
        <w:rPr>
          <w:sz w:val="22"/>
          <w:szCs w:val="22"/>
          <w:lang w:eastAsia="en-US"/>
        </w:rPr>
        <w:t>Yerleşkesi</w:t>
      </w:r>
      <w:proofErr w:type="spellEnd"/>
      <w:r>
        <w:rPr>
          <w:sz w:val="22"/>
          <w:szCs w:val="22"/>
          <w:lang w:eastAsia="en-US"/>
        </w:rPr>
        <w:t xml:space="preserve"> 22030, Edirne-Turkey </w:t>
      </w:r>
    </w:p>
    <w:p w14:paraId="18E8F869" w14:textId="77777777" w:rsidR="00F14483" w:rsidRDefault="00F14483">
      <w:pPr>
        <w:spacing w:before="120" w:after="120"/>
        <w:ind w:left="720"/>
        <w:jc w:val="both"/>
        <w:rPr>
          <w:sz w:val="22"/>
          <w:szCs w:val="22"/>
          <w:lang w:eastAsia="en-US"/>
        </w:rPr>
      </w:pPr>
    </w:p>
    <w:p w14:paraId="3C8E842D" w14:textId="77777777" w:rsidR="00F14483" w:rsidRDefault="00F70834">
      <w:pPr>
        <w:spacing w:before="120" w:after="120"/>
        <w:ind w:left="720"/>
        <w:jc w:val="both"/>
        <w:rPr>
          <w:sz w:val="22"/>
          <w:szCs w:val="22"/>
        </w:rPr>
      </w:pPr>
      <w:r>
        <w:rPr>
          <w:b/>
          <w:sz w:val="22"/>
          <w:szCs w:val="22"/>
        </w:rPr>
        <w:t>OR</w:t>
      </w:r>
      <w:r>
        <w:rPr>
          <w:sz w:val="22"/>
          <w:szCs w:val="22"/>
        </w:rPr>
        <w:t xml:space="preserve"> </w:t>
      </w:r>
      <w:r>
        <w:rPr>
          <w:rStyle w:val="Gl"/>
          <w:b w:val="0"/>
          <w:sz w:val="22"/>
          <w:szCs w:val="22"/>
        </w:rPr>
        <w:t>hand delivered</w:t>
      </w:r>
      <w:r>
        <w:rPr>
          <w:sz w:val="22"/>
          <w:szCs w:val="22"/>
        </w:rPr>
        <w:t xml:space="preserve"> by the participant in person or by an agent</w:t>
      </w:r>
      <w:r>
        <w:rPr>
          <w:rStyle w:val="Gl"/>
          <w:b w:val="0"/>
          <w:sz w:val="22"/>
          <w:szCs w:val="22"/>
        </w:rPr>
        <w:t xml:space="preserve"> directly</w:t>
      </w:r>
      <w:r>
        <w:rPr>
          <w:sz w:val="22"/>
          <w:szCs w:val="22"/>
        </w:rPr>
        <w:t xml:space="preserve"> to the premises of the contracting authority in return for a </w:t>
      </w:r>
      <w:r>
        <w:rPr>
          <w:rStyle w:val="Gl"/>
          <w:b w:val="0"/>
          <w:sz w:val="22"/>
          <w:szCs w:val="22"/>
        </w:rPr>
        <w:t>signed and dated receipt</w:t>
      </w:r>
      <w:r>
        <w:rPr>
          <w:sz w:val="22"/>
          <w:szCs w:val="22"/>
        </w:rPr>
        <w:t>, in which case the evidence shall be constituted by this acknowledgement of receipt, to:</w:t>
      </w:r>
    </w:p>
    <w:p w14:paraId="42718D63" w14:textId="77777777" w:rsidR="00F14483" w:rsidRDefault="00F70834">
      <w:pPr>
        <w:spacing w:before="120" w:after="120"/>
        <w:jc w:val="both"/>
        <w:rPr>
          <w:sz w:val="22"/>
          <w:szCs w:val="22"/>
          <w:lang w:eastAsia="en-US"/>
        </w:rPr>
      </w:pPr>
      <w:r>
        <w:rPr>
          <w:sz w:val="22"/>
          <w:szCs w:val="22"/>
          <w:lang w:eastAsia="en-US"/>
        </w:rPr>
        <w:t xml:space="preserve"> Trakya University Rectorate, </w:t>
      </w:r>
      <w:proofErr w:type="spellStart"/>
      <w:r>
        <w:rPr>
          <w:sz w:val="22"/>
          <w:szCs w:val="22"/>
          <w:lang w:eastAsia="en-US"/>
        </w:rPr>
        <w:t>Teknoloji</w:t>
      </w:r>
      <w:proofErr w:type="spellEnd"/>
      <w:r>
        <w:rPr>
          <w:sz w:val="22"/>
          <w:szCs w:val="22"/>
          <w:lang w:eastAsia="en-US"/>
        </w:rPr>
        <w:t xml:space="preserve"> </w:t>
      </w:r>
      <w:proofErr w:type="spellStart"/>
      <w:r>
        <w:rPr>
          <w:sz w:val="22"/>
          <w:szCs w:val="22"/>
          <w:lang w:eastAsia="en-US"/>
        </w:rPr>
        <w:t>Transferi</w:t>
      </w:r>
      <w:proofErr w:type="spellEnd"/>
      <w:r>
        <w:rPr>
          <w:sz w:val="22"/>
          <w:szCs w:val="22"/>
          <w:lang w:eastAsia="en-US"/>
        </w:rPr>
        <w:t xml:space="preserve"> </w:t>
      </w:r>
      <w:proofErr w:type="spellStart"/>
      <w:r>
        <w:rPr>
          <w:sz w:val="22"/>
          <w:szCs w:val="22"/>
          <w:lang w:eastAsia="en-US"/>
        </w:rPr>
        <w:t>Uygulama</w:t>
      </w:r>
      <w:proofErr w:type="spellEnd"/>
      <w:r>
        <w:rPr>
          <w:sz w:val="22"/>
          <w:szCs w:val="22"/>
          <w:lang w:eastAsia="en-US"/>
        </w:rPr>
        <w:t xml:space="preserve"> </w:t>
      </w:r>
      <w:proofErr w:type="spellStart"/>
      <w:r>
        <w:rPr>
          <w:sz w:val="22"/>
          <w:szCs w:val="22"/>
          <w:lang w:eastAsia="en-US"/>
        </w:rPr>
        <w:t>ve</w:t>
      </w:r>
      <w:proofErr w:type="spellEnd"/>
      <w:r>
        <w:rPr>
          <w:sz w:val="22"/>
          <w:szCs w:val="22"/>
          <w:lang w:eastAsia="en-US"/>
        </w:rPr>
        <w:t xml:space="preserve"> </w:t>
      </w:r>
      <w:proofErr w:type="spellStart"/>
      <w:r>
        <w:rPr>
          <w:sz w:val="22"/>
          <w:szCs w:val="22"/>
          <w:lang w:eastAsia="en-US"/>
        </w:rPr>
        <w:t>Araştırma</w:t>
      </w:r>
      <w:proofErr w:type="spellEnd"/>
      <w:r>
        <w:rPr>
          <w:sz w:val="22"/>
          <w:szCs w:val="22"/>
          <w:lang w:eastAsia="en-US"/>
        </w:rPr>
        <w:t xml:space="preserve"> </w:t>
      </w:r>
      <w:proofErr w:type="spellStart"/>
      <w:r>
        <w:rPr>
          <w:sz w:val="22"/>
          <w:szCs w:val="22"/>
          <w:lang w:eastAsia="en-US"/>
        </w:rPr>
        <w:t>Merkezi</w:t>
      </w:r>
      <w:proofErr w:type="spellEnd"/>
      <w:r>
        <w:rPr>
          <w:sz w:val="22"/>
          <w:szCs w:val="22"/>
          <w:lang w:eastAsia="en-US"/>
        </w:rPr>
        <w:t xml:space="preserve">, Balkan </w:t>
      </w:r>
      <w:proofErr w:type="spellStart"/>
      <w:r>
        <w:rPr>
          <w:sz w:val="22"/>
          <w:szCs w:val="22"/>
          <w:lang w:eastAsia="en-US"/>
        </w:rPr>
        <w:t>Yerleşkesi</w:t>
      </w:r>
      <w:proofErr w:type="spellEnd"/>
      <w:r>
        <w:rPr>
          <w:sz w:val="22"/>
          <w:szCs w:val="22"/>
          <w:lang w:eastAsia="en-US"/>
        </w:rPr>
        <w:t xml:space="preserve"> 22030, Edirne-Turkey</w:t>
      </w:r>
    </w:p>
    <w:p w14:paraId="1949DD0B" w14:textId="77777777" w:rsidR="00F14483" w:rsidRDefault="00F70834">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41B1ACD0" w14:textId="77777777" w:rsidR="00F14483" w:rsidRDefault="00F14483">
      <w:pPr>
        <w:spacing w:before="120" w:after="120"/>
        <w:jc w:val="both"/>
        <w:rPr>
          <w:rStyle w:val="Gl"/>
          <w:sz w:val="22"/>
          <w:szCs w:val="22"/>
        </w:rPr>
      </w:pPr>
    </w:p>
    <w:p w14:paraId="583F7BC8" w14:textId="77777777" w:rsidR="00F14483" w:rsidRDefault="00F70834">
      <w:pPr>
        <w:spacing w:before="120" w:after="120"/>
        <w:jc w:val="both"/>
        <w:rPr>
          <w:sz w:val="22"/>
          <w:szCs w:val="22"/>
        </w:rPr>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w:t>
      </w:r>
      <w:proofErr w:type="gramStart"/>
      <w:r>
        <w:rPr>
          <w:sz w:val="22"/>
          <w:szCs w:val="22"/>
        </w:rPr>
        <w:t>i.e.</w:t>
      </w:r>
      <w:proofErr w:type="gramEnd"/>
      <w:r>
        <w:rPr>
          <w:sz w:val="22"/>
          <w:szCs w:val="22"/>
        </w:rPr>
        <w:t xml:space="preserve"> including the tender submission form, statements of exclusivity and availability of the key experts and declarations).</w:t>
      </w:r>
    </w:p>
    <w:p w14:paraId="167C87CB" w14:textId="77777777" w:rsidR="00F14483" w:rsidRDefault="00F14483">
      <w:pPr>
        <w:spacing w:before="120" w:after="120"/>
        <w:jc w:val="both"/>
        <w:rPr>
          <w:sz w:val="22"/>
          <w:szCs w:val="22"/>
        </w:rPr>
      </w:pPr>
    </w:p>
    <w:p w14:paraId="42722BF2" w14:textId="77777777" w:rsidR="00F14483" w:rsidRDefault="00F70834">
      <w:pPr>
        <w:spacing w:before="120" w:after="120"/>
        <w:jc w:val="both"/>
        <w:rPr>
          <w:sz w:val="22"/>
          <w:szCs w:val="22"/>
        </w:rPr>
      </w:pPr>
      <w:r>
        <w:rPr>
          <w:sz w:val="22"/>
          <w:szCs w:val="22"/>
        </w:rPr>
        <w:t xml:space="preserve">The outer envelope should provide the following information: </w:t>
      </w:r>
    </w:p>
    <w:p w14:paraId="310CBB68" w14:textId="77777777" w:rsidR="00F14483" w:rsidRDefault="00F70834">
      <w:pPr>
        <w:numPr>
          <w:ilvl w:val="0"/>
          <w:numId w:val="3"/>
        </w:numPr>
        <w:spacing w:before="120" w:after="120"/>
        <w:ind w:left="426" w:hanging="284"/>
        <w:rPr>
          <w:sz w:val="22"/>
          <w:szCs w:val="22"/>
        </w:rPr>
      </w:pPr>
      <w:r>
        <w:rPr>
          <w:sz w:val="22"/>
          <w:szCs w:val="22"/>
        </w:rPr>
        <w:t xml:space="preserve">the address for submitting tenders indicated </w:t>
      </w:r>
      <w:proofErr w:type="gramStart"/>
      <w:r>
        <w:rPr>
          <w:sz w:val="22"/>
          <w:szCs w:val="22"/>
        </w:rPr>
        <w:t>above;</w:t>
      </w:r>
      <w:proofErr w:type="gramEnd"/>
      <w:r>
        <w:rPr>
          <w:sz w:val="22"/>
          <w:szCs w:val="22"/>
        </w:rPr>
        <w:t xml:space="preserve"> </w:t>
      </w:r>
    </w:p>
    <w:p w14:paraId="507E4C1D" w14:textId="77777777" w:rsidR="00F14483" w:rsidRDefault="00F70834">
      <w:pPr>
        <w:numPr>
          <w:ilvl w:val="0"/>
          <w:numId w:val="3"/>
        </w:numPr>
        <w:spacing w:before="120" w:after="120"/>
        <w:rPr>
          <w:sz w:val="22"/>
          <w:szCs w:val="22"/>
        </w:rPr>
      </w:pPr>
      <w:r>
        <w:rPr>
          <w:sz w:val="22"/>
          <w:szCs w:val="22"/>
        </w:rPr>
        <w:t>the reference code of the tender procedure (</w:t>
      </w:r>
      <w:proofErr w:type="gramStart"/>
      <w:r>
        <w:rPr>
          <w:sz w:val="22"/>
          <w:szCs w:val="22"/>
        </w:rPr>
        <w:t>i.e.</w:t>
      </w:r>
      <w:proofErr w:type="gramEnd"/>
      <w:r>
        <w:rPr>
          <w:sz w:val="22"/>
          <w:szCs w:val="22"/>
        </w:rPr>
        <w:t xml:space="preserve"> </w:t>
      </w:r>
      <w:r>
        <w:rPr>
          <w:b/>
          <w:sz w:val="22"/>
          <w:szCs w:val="22"/>
        </w:rPr>
        <w:t>&lt;</w:t>
      </w:r>
      <w:r>
        <w:t xml:space="preserve"> </w:t>
      </w:r>
      <w:r>
        <w:rPr>
          <w:sz w:val="22"/>
          <w:szCs w:val="22"/>
        </w:rPr>
        <w:t>CB005.3.12.001 – PP2– Service 3</w:t>
      </w:r>
      <w:r>
        <w:rPr>
          <w:b/>
          <w:sz w:val="22"/>
          <w:szCs w:val="22"/>
        </w:rPr>
        <w:t>&gt;</w:t>
      </w:r>
      <w:r>
        <w:rPr>
          <w:sz w:val="22"/>
          <w:szCs w:val="22"/>
        </w:rPr>
        <w:t>);</w:t>
      </w:r>
    </w:p>
    <w:p w14:paraId="183ACB61" w14:textId="5BE42BF8" w:rsidR="00F14483" w:rsidRDefault="00F70834">
      <w:pPr>
        <w:numPr>
          <w:ilvl w:val="0"/>
          <w:numId w:val="3"/>
        </w:numPr>
        <w:spacing w:before="120" w:after="120"/>
        <w:ind w:left="426" w:hanging="284"/>
        <w:rPr>
          <w:sz w:val="22"/>
          <w:szCs w:val="22"/>
        </w:rPr>
      </w:pPr>
      <w:r>
        <w:rPr>
          <w:sz w:val="22"/>
          <w:szCs w:val="22"/>
        </w:rPr>
        <w:t xml:space="preserve">the words ‘Not to be opened before the tender-opening session’ and </w:t>
      </w:r>
      <w:r w:rsidR="00102437">
        <w:rPr>
          <w:sz w:val="22"/>
          <w:szCs w:val="22"/>
        </w:rPr>
        <w:t>“</w:t>
      </w:r>
      <w:proofErr w:type="spellStart"/>
      <w:r w:rsidR="00102437" w:rsidRPr="003E161D">
        <w:t>İhale</w:t>
      </w:r>
      <w:proofErr w:type="spellEnd"/>
      <w:r w:rsidR="00102437" w:rsidRPr="003E161D">
        <w:t xml:space="preserve"> </w:t>
      </w:r>
      <w:proofErr w:type="spellStart"/>
      <w:r w:rsidR="00102437" w:rsidRPr="003E161D">
        <w:t>Açılış</w:t>
      </w:r>
      <w:proofErr w:type="spellEnd"/>
      <w:r w:rsidR="00102437" w:rsidRPr="003E161D">
        <w:t xml:space="preserve"> </w:t>
      </w:r>
      <w:proofErr w:type="spellStart"/>
      <w:r w:rsidR="00102437" w:rsidRPr="003E161D">
        <w:t>Oturumundan</w:t>
      </w:r>
      <w:proofErr w:type="spellEnd"/>
      <w:r w:rsidR="00102437" w:rsidRPr="003E161D">
        <w:t xml:space="preserve"> </w:t>
      </w:r>
      <w:proofErr w:type="spellStart"/>
      <w:r w:rsidR="00102437" w:rsidRPr="003E161D">
        <w:t>Önce</w:t>
      </w:r>
      <w:proofErr w:type="spellEnd"/>
      <w:r w:rsidR="00102437" w:rsidRPr="003E161D">
        <w:t xml:space="preserve"> </w:t>
      </w:r>
      <w:proofErr w:type="spellStart"/>
      <w:r w:rsidR="00102437" w:rsidRPr="003E161D">
        <w:t>Açmayınız</w:t>
      </w:r>
      <w:proofErr w:type="spellEnd"/>
      <w:proofErr w:type="gramStart"/>
      <w:r w:rsidR="00102437">
        <w:rPr>
          <w:rStyle w:val="normaltextrun"/>
          <w:color w:val="000000"/>
          <w:sz w:val="22"/>
          <w:szCs w:val="22"/>
          <w:shd w:val="clear" w:color="auto" w:fill="FFFFFF"/>
        </w:rPr>
        <w:t>”</w:t>
      </w:r>
      <w:r>
        <w:rPr>
          <w:sz w:val="22"/>
          <w:szCs w:val="22"/>
        </w:rPr>
        <w:t>;</w:t>
      </w:r>
      <w:proofErr w:type="gramEnd"/>
      <w:r>
        <w:rPr>
          <w:sz w:val="22"/>
          <w:szCs w:val="22"/>
        </w:rPr>
        <w:t xml:space="preserve"> </w:t>
      </w:r>
    </w:p>
    <w:p w14:paraId="22990FB9" w14:textId="77777777" w:rsidR="00F14483" w:rsidRDefault="00F70834">
      <w:pPr>
        <w:numPr>
          <w:ilvl w:val="0"/>
          <w:numId w:val="3"/>
        </w:numPr>
        <w:spacing w:before="120" w:after="120"/>
        <w:ind w:left="426" w:hanging="284"/>
        <w:rPr>
          <w:sz w:val="22"/>
          <w:szCs w:val="22"/>
        </w:rPr>
      </w:pPr>
      <w:r>
        <w:rPr>
          <w:sz w:val="22"/>
          <w:szCs w:val="22"/>
        </w:rPr>
        <w:t>the name of the tenderer.</w:t>
      </w:r>
    </w:p>
    <w:p w14:paraId="64FCEA9F" w14:textId="77777777" w:rsidR="00F14483" w:rsidRDefault="00F70834">
      <w:pPr>
        <w:spacing w:before="120" w:after="120"/>
        <w:jc w:val="both"/>
        <w:rPr>
          <w:sz w:val="22"/>
          <w:szCs w:val="22"/>
        </w:rPr>
      </w:pPr>
      <w:r>
        <w:rPr>
          <w:sz w:val="22"/>
          <w:szCs w:val="22"/>
        </w:rPr>
        <w:t>Each envelope must include an index of its contents. The pages of the technical and financial offers must be numbered.</w:t>
      </w:r>
    </w:p>
    <w:p w14:paraId="55C1BB5D" w14:textId="77777777" w:rsidR="00F14483" w:rsidRDefault="00F70834">
      <w:pPr>
        <w:keepNext/>
        <w:numPr>
          <w:ilvl w:val="0"/>
          <w:numId w:val="4"/>
        </w:numPr>
        <w:spacing w:before="120" w:after="120"/>
        <w:jc w:val="both"/>
        <w:rPr>
          <w:b/>
          <w:sz w:val="24"/>
          <w:szCs w:val="24"/>
        </w:rPr>
      </w:pPr>
      <w:r>
        <w:rPr>
          <w:b/>
          <w:sz w:val="24"/>
          <w:szCs w:val="24"/>
        </w:rPr>
        <w:t>Amending or withdrawing tenders</w:t>
      </w:r>
    </w:p>
    <w:p w14:paraId="043DC451" w14:textId="77777777" w:rsidR="00F14483" w:rsidRDefault="00F70834">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50A10F9F" w14:textId="77777777" w:rsidR="00F14483" w:rsidRDefault="00F70834">
      <w:pPr>
        <w:spacing w:before="120" w:after="120"/>
        <w:jc w:val="both"/>
        <w:rPr>
          <w:sz w:val="22"/>
          <w:szCs w:val="22"/>
        </w:rPr>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14:paraId="4DE12971" w14:textId="77777777" w:rsidR="00F14483" w:rsidRDefault="00F70834">
      <w:pPr>
        <w:keepNext/>
        <w:keepLines/>
        <w:numPr>
          <w:ilvl w:val="0"/>
          <w:numId w:val="4"/>
        </w:numPr>
        <w:spacing w:before="120" w:after="120"/>
        <w:jc w:val="both"/>
        <w:rPr>
          <w:b/>
          <w:sz w:val="24"/>
          <w:szCs w:val="24"/>
        </w:rPr>
      </w:pPr>
      <w:r>
        <w:rPr>
          <w:b/>
          <w:sz w:val="24"/>
          <w:szCs w:val="24"/>
        </w:rPr>
        <w:t>Costs for preparing tenders</w:t>
      </w:r>
    </w:p>
    <w:p w14:paraId="51FFB65B" w14:textId="77777777" w:rsidR="00F14483" w:rsidRDefault="00F70834">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5A03A6E3" w14:textId="77777777" w:rsidR="00F14483" w:rsidRDefault="00F70834">
      <w:pPr>
        <w:numPr>
          <w:ilvl w:val="0"/>
          <w:numId w:val="4"/>
        </w:numPr>
        <w:spacing w:before="120" w:after="120"/>
        <w:jc w:val="both"/>
        <w:rPr>
          <w:b/>
          <w:sz w:val="24"/>
          <w:szCs w:val="24"/>
        </w:rPr>
      </w:pPr>
      <w:r>
        <w:rPr>
          <w:b/>
          <w:sz w:val="24"/>
          <w:szCs w:val="24"/>
        </w:rPr>
        <w:t>Ownership of tenders</w:t>
      </w:r>
    </w:p>
    <w:p w14:paraId="59262688" w14:textId="77777777" w:rsidR="00F14483" w:rsidRDefault="00F70834">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27A127F8" w14:textId="77777777" w:rsidR="00F14483" w:rsidRDefault="00F70834">
      <w:pPr>
        <w:numPr>
          <w:ilvl w:val="0"/>
          <w:numId w:val="4"/>
        </w:numPr>
        <w:spacing w:before="120" w:after="120"/>
        <w:jc w:val="both"/>
        <w:rPr>
          <w:b/>
          <w:sz w:val="24"/>
          <w:szCs w:val="24"/>
        </w:rPr>
      </w:pPr>
      <w:r>
        <w:rPr>
          <w:b/>
          <w:sz w:val="24"/>
          <w:szCs w:val="24"/>
        </w:rPr>
        <w:t>Evaluation of tenders</w:t>
      </w:r>
    </w:p>
    <w:p w14:paraId="6C871288" w14:textId="77777777" w:rsidR="00F14483" w:rsidRDefault="00F70834">
      <w:pPr>
        <w:spacing w:before="120" w:after="120"/>
        <w:jc w:val="both"/>
        <w:rPr>
          <w:b/>
          <w:sz w:val="22"/>
          <w:szCs w:val="22"/>
        </w:rPr>
      </w:pPr>
      <w:r>
        <w:rPr>
          <w:b/>
          <w:sz w:val="22"/>
          <w:szCs w:val="22"/>
        </w:rPr>
        <w:t>12.1.</w:t>
      </w:r>
      <w:r>
        <w:rPr>
          <w:b/>
          <w:sz w:val="22"/>
          <w:szCs w:val="22"/>
        </w:rPr>
        <w:tab/>
        <w:t>Evaluation of technical offers</w:t>
      </w:r>
    </w:p>
    <w:p w14:paraId="14DEE983" w14:textId="77777777" w:rsidR="00F14483" w:rsidRDefault="00F70834">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46B1150A" w14:textId="77777777" w:rsidR="00F14483" w:rsidRDefault="00F70834">
      <w:pPr>
        <w:pStyle w:val="GvdeMetni"/>
        <w:spacing w:before="120" w:after="120"/>
        <w:jc w:val="both"/>
        <w:rPr>
          <w:sz w:val="22"/>
          <w:szCs w:val="22"/>
        </w:rPr>
      </w:pPr>
      <w:r>
        <w:rPr>
          <w:sz w:val="22"/>
          <w:szCs w:val="22"/>
        </w:rPr>
        <w:t xml:space="preserve">The evaluation of the technical offers will follow the procedures set out in Section 3.4.10.3 of the practical guide (available on the internet at </w:t>
      </w:r>
      <w:hyperlink r:id="rId10">
        <w:r>
          <w:rPr>
            <w:rStyle w:val="Kpr"/>
            <w:sz w:val="22"/>
            <w:szCs w:val="22"/>
          </w:rPr>
          <w:t>http://ec.europa.eu/europeaid/prag/document.do</w:t>
        </w:r>
      </w:hyperlink>
      <w:r>
        <w:rPr>
          <w:sz w:val="22"/>
          <w:szCs w:val="22"/>
        </w:rPr>
        <w:t>).</w:t>
      </w:r>
    </w:p>
    <w:p w14:paraId="1281014B" w14:textId="77777777" w:rsidR="00F14483" w:rsidRDefault="00F70834">
      <w:pPr>
        <w:spacing w:before="120" w:after="120"/>
        <w:jc w:val="both"/>
        <w:rPr>
          <w:b/>
          <w:iCs/>
          <w:sz w:val="22"/>
          <w:szCs w:val="22"/>
        </w:rPr>
      </w:pPr>
      <w:r>
        <w:rPr>
          <w:b/>
          <w:iCs/>
          <w:sz w:val="22"/>
          <w:szCs w:val="22"/>
        </w:rPr>
        <w:t>12.1.1.</w:t>
      </w:r>
      <w:r>
        <w:rPr>
          <w:b/>
          <w:iCs/>
          <w:sz w:val="22"/>
          <w:szCs w:val="22"/>
        </w:rPr>
        <w:tab/>
        <w:t xml:space="preserve">Interviews </w:t>
      </w:r>
    </w:p>
    <w:p w14:paraId="7A1B59DB" w14:textId="77777777" w:rsidR="00F14483" w:rsidRDefault="00F70834">
      <w:pPr>
        <w:spacing w:before="120" w:after="120"/>
        <w:jc w:val="both"/>
        <w:rPr>
          <w:sz w:val="22"/>
          <w:szCs w:val="22"/>
        </w:rPr>
      </w:pPr>
      <w:r>
        <w:rPr>
          <w:sz w:val="22"/>
          <w:szCs w:val="22"/>
        </w:rPr>
        <w:t xml:space="preserve">No interviews are foreseen. </w:t>
      </w:r>
    </w:p>
    <w:p w14:paraId="06532EEF" w14:textId="77777777" w:rsidR="00F14483" w:rsidRDefault="00F70834">
      <w:pPr>
        <w:keepNext/>
        <w:spacing w:before="120" w:after="120"/>
        <w:jc w:val="both"/>
        <w:rPr>
          <w:b/>
          <w:sz w:val="22"/>
          <w:szCs w:val="22"/>
        </w:rPr>
      </w:pPr>
      <w:r>
        <w:rPr>
          <w:b/>
          <w:sz w:val="22"/>
          <w:szCs w:val="22"/>
        </w:rPr>
        <w:t>12.2.</w:t>
      </w:r>
      <w:r>
        <w:rPr>
          <w:b/>
          <w:sz w:val="22"/>
          <w:szCs w:val="22"/>
        </w:rPr>
        <w:tab/>
        <w:t>Evaluation of financial offers</w:t>
      </w:r>
    </w:p>
    <w:p w14:paraId="403C2A6A" w14:textId="77777777" w:rsidR="00F14483" w:rsidRDefault="00F70834">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w:t>
      </w:r>
      <w:proofErr w:type="gramStart"/>
      <w:r>
        <w:rPr>
          <w:sz w:val="22"/>
          <w:szCs w:val="22"/>
        </w:rPr>
        <w:t>i.e.</w:t>
      </w:r>
      <w:proofErr w:type="gramEnd"/>
      <w:r>
        <w:rPr>
          <w:sz w:val="22"/>
          <w:szCs w:val="22"/>
        </w:rPr>
        <w:t xml:space="preserve"> those </w:t>
      </w:r>
      <w:r>
        <w:rPr>
          <w:sz w:val="22"/>
          <w:szCs w:val="22"/>
        </w:rPr>
        <w:lastRenderedPageBreak/>
        <w:t xml:space="preserve">with an average score of 75 points or more). Tenders exceeding the maximum budget available for the </w:t>
      </w:r>
      <w:proofErr w:type="gramStart"/>
      <w:r>
        <w:rPr>
          <w:sz w:val="22"/>
          <w:szCs w:val="22"/>
        </w:rPr>
        <w:t>contract  will</w:t>
      </w:r>
      <w:proofErr w:type="gramEnd"/>
      <w:r>
        <w:rPr>
          <w:sz w:val="22"/>
          <w:szCs w:val="22"/>
        </w:rPr>
        <w:t xml:space="preserve"> not be accepted and will therefore not be further evaluated.</w:t>
      </w:r>
    </w:p>
    <w:p w14:paraId="5F34090F" w14:textId="77777777" w:rsidR="00F14483" w:rsidRDefault="00F70834">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14:paraId="6A4C7B82" w14:textId="77777777" w:rsidR="00F14483" w:rsidRDefault="00F70834">
      <w:pPr>
        <w:spacing w:before="120" w:after="120"/>
        <w:jc w:val="both"/>
        <w:rPr>
          <w:sz w:val="22"/>
          <w:szCs w:val="22"/>
        </w:rPr>
      </w:pPr>
      <w:r>
        <w:rPr>
          <w:sz w:val="22"/>
          <w:szCs w:val="22"/>
        </w:rPr>
        <w:t>The best price-quality ratio is established by weighing technical quality against price on an 80/20 basis.</w:t>
      </w:r>
    </w:p>
    <w:p w14:paraId="132B1C1F" w14:textId="77777777" w:rsidR="00F14483" w:rsidRDefault="00F70834">
      <w:pPr>
        <w:keepNext/>
        <w:spacing w:before="120" w:after="120"/>
        <w:jc w:val="both"/>
        <w:rPr>
          <w:b/>
          <w:sz w:val="22"/>
          <w:szCs w:val="22"/>
        </w:rPr>
      </w:pPr>
      <w:r>
        <w:rPr>
          <w:b/>
          <w:sz w:val="22"/>
          <w:szCs w:val="22"/>
        </w:rPr>
        <w:t>12.4.</w:t>
      </w:r>
      <w:r>
        <w:rPr>
          <w:b/>
          <w:sz w:val="22"/>
          <w:szCs w:val="22"/>
        </w:rPr>
        <w:tab/>
        <w:t>Confidentiality</w:t>
      </w:r>
    </w:p>
    <w:p w14:paraId="77E28855" w14:textId="77777777" w:rsidR="00F14483" w:rsidRDefault="00F70834">
      <w:pPr>
        <w:spacing w:before="120" w:after="120"/>
        <w:jc w:val="both"/>
        <w:rPr>
          <w:sz w:val="22"/>
          <w:szCs w:val="22"/>
        </w:rPr>
      </w:pPr>
      <w:r>
        <w:rPr>
          <w:sz w:val="22"/>
          <w:szCs w:val="22"/>
        </w:rPr>
        <w:t xml:space="preserve">The entire evaluation procedure is confidential, subject to the contracting authority’s legislation on access to documents. The evaluation committee’s decisions are </w:t>
      </w:r>
      <w:proofErr w:type="gramStart"/>
      <w:r>
        <w:rPr>
          <w:sz w:val="22"/>
          <w:szCs w:val="22"/>
        </w:rPr>
        <w:t>collective</w:t>
      </w:r>
      <w:proofErr w:type="gramEnd"/>
      <w:r>
        <w:rPr>
          <w:sz w:val="22"/>
          <w:szCs w:val="22"/>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w:t>
      </w:r>
      <w:proofErr w:type="gramStart"/>
      <w:r>
        <w:rPr>
          <w:sz w:val="22"/>
          <w:szCs w:val="22"/>
        </w:rPr>
        <w:t>Office</w:t>
      </w:r>
      <w:proofErr w:type="gramEnd"/>
      <w:r>
        <w:rPr>
          <w:sz w:val="22"/>
          <w:szCs w:val="22"/>
        </w:rPr>
        <w:t xml:space="preserve"> and the European Court of Auditors.</w:t>
      </w:r>
    </w:p>
    <w:p w14:paraId="48951220" w14:textId="77777777" w:rsidR="00F14483" w:rsidRDefault="00F70834">
      <w:pPr>
        <w:keepNext/>
        <w:numPr>
          <w:ilvl w:val="0"/>
          <w:numId w:val="4"/>
        </w:numPr>
        <w:spacing w:before="120" w:after="120"/>
        <w:jc w:val="both"/>
        <w:rPr>
          <w:b/>
          <w:sz w:val="24"/>
          <w:szCs w:val="24"/>
        </w:rPr>
      </w:pPr>
      <w:r>
        <w:rPr>
          <w:b/>
          <w:sz w:val="24"/>
          <w:szCs w:val="24"/>
        </w:rPr>
        <w:t>Ethics clauses / Corruptive practices</w:t>
      </w:r>
    </w:p>
    <w:p w14:paraId="19E5292C" w14:textId="77777777" w:rsidR="00F14483" w:rsidRDefault="00F70834">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14:paraId="076944C5" w14:textId="77777777" w:rsidR="00F14483" w:rsidRDefault="00F70834">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Pr>
          <w:sz w:val="22"/>
          <w:szCs w:val="22"/>
        </w:rPr>
        <w:t>evaluating</w:t>
      </w:r>
      <w:proofErr w:type="gramEnd"/>
      <w:r>
        <w:rPr>
          <w:sz w:val="22"/>
          <w:szCs w:val="22"/>
        </w:rPr>
        <w:t xml:space="preserve"> and comparing tenders will lead to the rejection of its tender and may result in administrative penalties according to the Financial Regulation in force. </w:t>
      </w:r>
    </w:p>
    <w:p w14:paraId="6C7FED7D" w14:textId="77777777" w:rsidR="00F14483" w:rsidRDefault="00F70834">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14:paraId="02C6CFE5" w14:textId="77777777" w:rsidR="00F14483" w:rsidRDefault="00F70834">
      <w:pPr>
        <w:spacing w:before="120" w:after="120"/>
        <w:ind w:left="567" w:hanging="567"/>
        <w:jc w:val="both"/>
        <w:rPr>
          <w:sz w:val="22"/>
          <w:szCs w:val="22"/>
        </w:rPr>
      </w:pPr>
      <w:r>
        <w:rPr>
          <w:sz w:val="22"/>
          <w:szCs w:val="22"/>
        </w:rPr>
        <w:t xml:space="preserve">         The tenderer and its staff must comply with human rights and applicable data protection rules. </w:t>
      </w:r>
      <w:proofErr w:type="gramStart"/>
      <w:r>
        <w:rPr>
          <w:sz w:val="22"/>
          <w:szCs w:val="22"/>
        </w:rPr>
        <w:t>In particular and</w:t>
      </w:r>
      <w:proofErr w:type="gramEnd"/>
      <w:r>
        <w:rPr>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02244DB" w14:textId="77777777" w:rsidR="00F14483" w:rsidRDefault="00F70834">
      <w:pPr>
        <w:pBdr>
          <w:top w:val="single" w:sz="4" w:space="1" w:color="000000"/>
          <w:left w:val="single" w:sz="4" w:space="4" w:color="000000"/>
          <w:bottom w:val="single" w:sz="4" w:space="1" w:color="000000"/>
          <w:right w:val="single" w:sz="4" w:space="4" w:color="000000"/>
        </w:pBdr>
        <w:spacing w:before="120" w:after="120"/>
        <w:ind w:left="567" w:hanging="567"/>
        <w:jc w:val="both"/>
        <w:rPr>
          <w:b/>
          <w:sz w:val="22"/>
          <w:szCs w:val="22"/>
        </w:rPr>
      </w:pPr>
      <w:r>
        <w:rPr>
          <w:sz w:val="22"/>
          <w:szCs w:val="22"/>
        </w:rPr>
        <w:t xml:space="preserve">          </w:t>
      </w:r>
      <w:r>
        <w:rPr>
          <w:b/>
          <w:sz w:val="22"/>
          <w:szCs w:val="22"/>
        </w:rPr>
        <w:t xml:space="preserve">Zero tolerance for sexual exploitation, </w:t>
      </w:r>
      <w:proofErr w:type="gramStart"/>
      <w:r>
        <w:rPr>
          <w:b/>
          <w:sz w:val="22"/>
          <w:szCs w:val="22"/>
        </w:rPr>
        <w:t>abuse</w:t>
      </w:r>
      <w:proofErr w:type="gramEnd"/>
      <w:r>
        <w:rPr>
          <w:b/>
          <w:sz w:val="22"/>
          <w:szCs w:val="22"/>
        </w:rPr>
        <w:t xml:space="preserve"> and harassment:</w:t>
      </w:r>
    </w:p>
    <w:p w14:paraId="5DB85608" w14:textId="77777777" w:rsidR="00F14483" w:rsidRDefault="00F70834">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14:paraId="03C964E6" w14:textId="77777777" w:rsidR="00F14483" w:rsidRDefault="00F70834">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Physical abuse or punishment, or threats of physical abuse, sexual abuse or exploitation, </w:t>
      </w:r>
      <w:proofErr w:type="gramStart"/>
      <w:r>
        <w:rPr>
          <w:sz w:val="22"/>
          <w:szCs w:val="22"/>
        </w:rPr>
        <w:t>harassment</w:t>
      </w:r>
      <w:proofErr w:type="gramEnd"/>
      <w:r>
        <w:rPr>
          <w:sz w:val="22"/>
          <w:szCs w:val="22"/>
        </w:rPr>
        <w:t xml:space="preserve"> and verbal abuse, as well as other forms of intimidation shall be prohibited.</w:t>
      </w:r>
    </w:p>
    <w:p w14:paraId="603085EC" w14:textId="77777777" w:rsidR="00F14483" w:rsidRDefault="00F70834">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14:paraId="408E9BAE" w14:textId="77777777" w:rsidR="00F14483" w:rsidRDefault="00F70834">
      <w:pPr>
        <w:spacing w:before="120" w:after="120"/>
        <w:ind w:left="567" w:hanging="567"/>
        <w:jc w:val="both"/>
        <w:rPr>
          <w:sz w:val="22"/>
          <w:szCs w:val="22"/>
        </w:rPr>
      </w:pPr>
      <w:r>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Pr>
          <w:sz w:val="22"/>
          <w:szCs w:val="22"/>
        </w:rPr>
        <w:t>gratuity</w:t>
      </w:r>
      <w:proofErr w:type="gramEnd"/>
      <w:r>
        <w:rPr>
          <w:sz w:val="22"/>
          <w:szCs w:val="22"/>
        </w:rPr>
        <w:t xml:space="preserve"> or commission to any person as an inducement or reward for performing or refraining from any act relating to the award of a contract or execution of a contract already concluded with the contracting authority. </w:t>
      </w:r>
    </w:p>
    <w:p w14:paraId="39F74019" w14:textId="77777777" w:rsidR="00F14483" w:rsidRDefault="00F70834">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14:paraId="5D62C969" w14:textId="77777777" w:rsidR="00F14483" w:rsidRDefault="00F70834">
      <w:pPr>
        <w:spacing w:before="120" w:after="120"/>
        <w:ind w:left="567" w:hanging="567"/>
        <w:jc w:val="both"/>
        <w:rPr>
          <w:sz w:val="22"/>
          <w:szCs w:val="22"/>
        </w:rPr>
      </w:pPr>
      <w:r>
        <w:rPr>
          <w:sz w:val="22"/>
          <w:szCs w:val="22"/>
        </w:rPr>
        <w:lastRenderedPageBreak/>
        <w:t xml:space="preserve">         Tenders will be </w:t>
      </w:r>
      <w:proofErr w:type="gramStart"/>
      <w:r>
        <w:rPr>
          <w:sz w:val="22"/>
          <w:szCs w:val="22"/>
        </w:rPr>
        <w:t>rejected</w:t>
      </w:r>
      <w:proofErr w:type="gramEnd"/>
      <w:r>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Pr>
          <w:sz w:val="22"/>
          <w:szCs w:val="22"/>
        </w:rPr>
        <w:t>identified</w:t>
      </w:r>
      <w:proofErr w:type="gramEnd"/>
      <w:r>
        <w:rPr>
          <w:sz w:val="22"/>
          <w:szCs w:val="22"/>
        </w:rPr>
        <w:t xml:space="preserve"> or commissions paid to a company which has every appearance of being a front company.</w:t>
      </w:r>
    </w:p>
    <w:p w14:paraId="31D5A22E" w14:textId="77777777" w:rsidR="00F14483" w:rsidRDefault="00F70834">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6BBB7ACD" w14:textId="77777777" w:rsidR="00F14483" w:rsidRDefault="00F70834">
      <w:pPr>
        <w:spacing w:before="120" w:after="120"/>
        <w:ind w:left="567" w:hanging="567"/>
        <w:jc w:val="both"/>
        <w:rPr>
          <w:sz w:val="22"/>
          <w:szCs w:val="22"/>
          <w:u w:val="single"/>
        </w:rPr>
      </w:pPr>
      <w:r>
        <w:rPr>
          <w:sz w:val="22"/>
          <w:szCs w:val="22"/>
        </w:rPr>
        <w:t>e)</w:t>
      </w:r>
      <w:r>
        <w:rPr>
          <w:sz w:val="22"/>
          <w:szCs w:val="22"/>
        </w:rPr>
        <w:tab/>
      </w:r>
      <w:r>
        <w:rPr>
          <w:sz w:val="22"/>
          <w:szCs w:val="22"/>
          <w:u w:val="single"/>
        </w:rPr>
        <w:t xml:space="preserve">Breach of obligations, </w:t>
      </w:r>
      <w:proofErr w:type="gramStart"/>
      <w:r>
        <w:rPr>
          <w:sz w:val="22"/>
          <w:szCs w:val="22"/>
          <w:u w:val="single"/>
        </w:rPr>
        <w:t>irregularities</w:t>
      </w:r>
      <w:proofErr w:type="gramEnd"/>
      <w:r>
        <w:rPr>
          <w:sz w:val="22"/>
          <w:szCs w:val="22"/>
          <w:u w:val="single"/>
        </w:rPr>
        <w:t xml:space="preserve"> or fraud</w:t>
      </w:r>
    </w:p>
    <w:p w14:paraId="1262FE3D" w14:textId="77777777" w:rsidR="00F14483" w:rsidRDefault="00F70834">
      <w:pPr>
        <w:spacing w:before="120" w:after="120"/>
        <w:ind w:left="567" w:hanging="567"/>
        <w:jc w:val="both"/>
        <w:rPr>
          <w:sz w:val="22"/>
          <w:szCs w:val="22"/>
        </w:rPr>
      </w:pPr>
      <w:r>
        <w:rPr>
          <w:sz w:val="22"/>
          <w:szCs w:val="22"/>
          <w:u w:val="single"/>
        </w:rPr>
        <w:t xml:space="preserve">         </w:t>
      </w:r>
      <w:r>
        <w:rPr>
          <w:sz w:val="22"/>
          <w:szCs w:val="22"/>
        </w:rPr>
        <w:t xml:space="preserve">The contracting authority reserves the right to suspend or cancel the procedure, where the award procedure proves to have been subject to breach of obligations, </w:t>
      </w:r>
      <w:proofErr w:type="gramStart"/>
      <w:r>
        <w:rPr>
          <w:sz w:val="22"/>
          <w:szCs w:val="22"/>
        </w:rPr>
        <w:t>irregularities</w:t>
      </w:r>
      <w:proofErr w:type="gramEnd"/>
      <w:r>
        <w:rPr>
          <w:sz w:val="22"/>
          <w:szCs w:val="22"/>
        </w:rPr>
        <w:t xml:space="preserve"> or fraud. If breach of obligations, irregularities or fraud are discovered after the award of the contract, the contracting authority may refrain from concluding the contract.</w:t>
      </w:r>
    </w:p>
    <w:p w14:paraId="7AC0360F" w14:textId="77777777" w:rsidR="00F14483" w:rsidRDefault="00F70834">
      <w:pPr>
        <w:keepNext/>
        <w:numPr>
          <w:ilvl w:val="0"/>
          <w:numId w:val="4"/>
        </w:numPr>
        <w:spacing w:before="120" w:after="120"/>
        <w:jc w:val="both"/>
        <w:rPr>
          <w:b/>
          <w:sz w:val="24"/>
          <w:szCs w:val="24"/>
        </w:rPr>
      </w:pPr>
      <w:r>
        <w:rPr>
          <w:b/>
          <w:sz w:val="24"/>
          <w:szCs w:val="24"/>
        </w:rPr>
        <w:t>Signature of contract(s)</w:t>
      </w:r>
    </w:p>
    <w:p w14:paraId="3AE6DDBA" w14:textId="77777777" w:rsidR="00F14483" w:rsidRDefault="00F70834">
      <w:pPr>
        <w:keepNext/>
        <w:spacing w:before="120" w:after="120"/>
        <w:ind w:left="567" w:hanging="567"/>
        <w:jc w:val="both"/>
        <w:rPr>
          <w:b/>
          <w:sz w:val="22"/>
          <w:szCs w:val="22"/>
        </w:rPr>
      </w:pPr>
      <w:r>
        <w:rPr>
          <w:b/>
          <w:sz w:val="22"/>
          <w:szCs w:val="22"/>
        </w:rPr>
        <w:t>14.1.</w:t>
      </w:r>
      <w:r>
        <w:rPr>
          <w:b/>
          <w:sz w:val="22"/>
          <w:szCs w:val="22"/>
        </w:rPr>
        <w:tab/>
        <w:t>Notification of award</w:t>
      </w:r>
    </w:p>
    <w:p w14:paraId="45D50136" w14:textId="77777777" w:rsidR="00F14483" w:rsidRDefault="00F70834">
      <w:pPr>
        <w:keepNext/>
        <w:spacing w:before="120" w:after="120"/>
        <w:jc w:val="both"/>
        <w:rPr>
          <w:sz w:val="22"/>
          <w:szCs w:val="22"/>
        </w:rPr>
      </w:pPr>
      <w:r>
        <w:rPr>
          <w:sz w:val="22"/>
          <w:szCs w:val="22"/>
        </w:rPr>
        <w:t xml:space="preserve">Tenderers will be notified of the outcome of this procurement procedure in writing. </w:t>
      </w:r>
    </w:p>
    <w:p w14:paraId="179C49E3" w14:textId="77777777" w:rsidR="00F14483" w:rsidRDefault="00F70834">
      <w:pPr>
        <w:keepNext/>
        <w:spacing w:before="120" w:after="120"/>
        <w:ind w:left="567" w:hanging="567"/>
        <w:jc w:val="both"/>
        <w:rPr>
          <w:b/>
          <w:sz w:val="22"/>
          <w:szCs w:val="22"/>
          <w:u w:val="single"/>
        </w:rPr>
      </w:pPr>
      <w:r>
        <w:rPr>
          <w:b/>
          <w:sz w:val="22"/>
          <w:szCs w:val="22"/>
        </w:rPr>
        <w:t>14.2.</w:t>
      </w:r>
      <w:r>
        <w:rPr>
          <w:b/>
          <w:sz w:val="22"/>
          <w:szCs w:val="22"/>
        </w:rPr>
        <w:tab/>
        <w:t>Signature of the contract(s)</w:t>
      </w:r>
    </w:p>
    <w:p w14:paraId="61CB5810" w14:textId="77777777" w:rsidR="00F14483" w:rsidRDefault="00F70834">
      <w:pPr>
        <w:pStyle w:val="GvdeMetni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14:paraId="50FE4C68" w14:textId="77777777" w:rsidR="00F14483" w:rsidRDefault="00F70834">
      <w:pPr>
        <w:pStyle w:val="GvdeMetni2"/>
        <w:tabs>
          <w:tab w:val="clear" w:pos="567"/>
          <w:tab w:val="left" w:pos="0"/>
          <w:tab w:val="left" w:pos="630"/>
        </w:tabs>
        <w:spacing w:before="120" w:after="120"/>
        <w:rPr>
          <w:sz w:val="22"/>
          <w:szCs w:val="22"/>
        </w:rPr>
      </w:pPr>
      <w:r>
        <w:rPr>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46C60F84" w14:textId="77777777" w:rsidR="00F14483" w:rsidRDefault="00F70834">
      <w:pPr>
        <w:pStyle w:val="GvdeMetni2"/>
        <w:tabs>
          <w:tab w:val="clear" w:pos="567"/>
          <w:tab w:val="left" w:pos="0"/>
          <w:tab w:val="left" w:pos="630"/>
        </w:tabs>
        <w:spacing w:before="120" w:after="120"/>
        <w:rPr>
          <w:rStyle w:val="Style11pt"/>
        </w:rPr>
      </w:pPr>
      <w:r>
        <w:rPr>
          <w:sz w:val="22"/>
          <w:szCs w:val="22"/>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t>T</w:t>
      </w:r>
      <w:r>
        <w:rPr>
          <w:rStyle w:val="Style11pt"/>
          <w:szCs w:val="22"/>
        </w:rPr>
        <w:t xml:space="preserve">he </w:t>
      </w:r>
      <w:proofErr w:type="gramStart"/>
      <w:r>
        <w:rPr>
          <w:rStyle w:val="Style11pt"/>
          <w:szCs w:val="22"/>
        </w:rPr>
        <w:t>second</w:t>
      </w:r>
      <w:r>
        <w:rPr>
          <w:rStyle w:val="Style11pt"/>
        </w:rPr>
        <w:t xml:space="preserve"> best</w:t>
      </w:r>
      <w:proofErr w:type="gramEnd"/>
      <w:r>
        <w:rPr>
          <w:rStyle w:val="Style11pt"/>
        </w:rPr>
        <w:t xml:space="preserve"> tenderer is informed of the notification of award to the successful tenderer with the reservation of the possibility to receive a notification of award in case of inability to sign the contract with the first ranked tenderer. The second tenderer may refuse the award of the contract if, when receiving a notification of award, the 90 days of validity of their tender has expired.</w:t>
      </w:r>
    </w:p>
    <w:p w14:paraId="374E1DB6" w14:textId="77777777" w:rsidR="00F14483" w:rsidRDefault="00F70834">
      <w:pPr>
        <w:pStyle w:val="Style11ptJustifiedAfter12pt"/>
        <w:tabs>
          <w:tab w:val="left" w:pos="0"/>
          <w:tab w:val="left" w:pos="630"/>
        </w:tabs>
        <w:spacing w:before="120"/>
        <w:rPr>
          <w:szCs w:val="22"/>
        </w:rPr>
      </w:pPr>
      <w:r>
        <w:rPr>
          <w:rStyle w:val="Style11pt"/>
          <w:szCs w:val="22"/>
        </w:rPr>
        <w:t>The contracting authority will furthermore, at the same time, also inform the remaining unsuccessful tenderers and the consequence of these letters will be that the validity of their offers must not be retained.</w:t>
      </w:r>
    </w:p>
    <w:p w14:paraId="4AD69207" w14:textId="77777777" w:rsidR="00F14483" w:rsidRDefault="00F70834">
      <w:pPr>
        <w:keepNext/>
        <w:numPr>
          <w:ilvl w:val="0"/>
          <w:numId w:val="4"/>
        </w:numPr>
        <w:spacing w:before="120" w:after="120"/>
        <w:jc w:val="both"/>
        <w:rPr>
          <w:b/>
          <w:sz w:val="24"/>
          <w:szCs w:val="24"/>
        </w:rPr>
      </w:pPr>
      <w:r>
        <w:rPr>
          <w:b/>
          <w:sz w:val="24"/>
          <w:szCs w:val="24"/>
        </w:rPr>
        <w:t>Cancellation of the tender procedure</w:t>
      </w:r>
    </w:p>
    <w:p w14:paraId="24ACF840" w14:textId="77777777" w:rsidR="00F14483" w:rsidRDefault="00F70834">
      <w:pPr>
        <w:pStyle w:val="GvdeMetni2"/>
        <w:tabs>
          <w:tab w:val="clear" w:pos="567"/>
          <w:tab w:val="left" w:pos="0"/>
          <w:tab w:val="left" w:pos="630"/>
        </w:tabs>
        <w:spacing w:before="120" w:after="120"/>
        <w:rPr>
          <w:sz w:val="22"/>
          <w:szCs w:val="22"/>
        </w:rPr>
      </w:pPr>
      <w:r>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1ABC83B2" w14:textId="77777777" w:rsidR="00F14483" w:rsidRDefault="00F70834">
      <w:pPr>
        <w:pStyle w:val="GvdeMetni2"/>
        <w:tabs>
          <w:tab w:val="clear" w:pos="567"/>
          <w:tab w:val="left" w:pos="0"/>
          <w:tab w:val="left" w:pos="630"/>
        </w:tabs>
        <w:spacing w:before="120" w:after="120"/>
        <w:rPr>
          <w:sz w:val="22"/>
          <w:szCs w:val="22"/>
        </w:rPr>
      </w:pPr>
      <w:r>
        <w:rPr>
          <w:sz w:val="22"/>
          <w:szCs w:val="22"/>
        </w:rPr>
        <w:t>Cancellation may occur, for example, where:</w:t>
      </w:r>
    </w:p>
    <w:p w14:paraId="4D151257" w14:textId="77777777" w:rsidR="00F14483" w:rsidRDefault="00F70834">
      <w:pPr>
        <w:pStyle w:val="GvdeMetni2"/>
        <w:numPr>
          <w:ilvl w:val="0"/>
          <w:numId w:val="6"/>
        </w:numPr>
        <w:tabs>
          <w:tab w:val="left" w:pos="0"/>
          <w:tab w:val="left" w:pos="630"/>
        </w:tabs>
        <w:spacing w:before="120" w:after="120"/>
        <w:rPr>
          <w:sz w:val="22"/>
          <w:szCs w:val="22"/>
        </w:rPr>
      </w:pPr>
      <w:r>
        <w:rPr>
          <w:sz w:val="22"/>
          <w:szCs w:val="22"/>
        </w:rPr>
        <w:t xml:space="preserve">the tender procedure has been unsuccessful, </w:t>
      </w:r>
      <w:proofErr w:type="gramStart"/>
      <w:r>
        <w:rPr>
          <w:sz w:val="22"/>
          <w:szCs w:val="22"/>
        </w:rPr>
        <w:t>i.e.</w:t>
      </w:r>
      <w:proofErr w:type="gramEnd"/>
      <w:r>
        <w:rPr>
          <w:sz w:val="22"/>
          <w:szCs w:val="22"/>
        </w:rPr>
        <w:t xml:space="preserve"> no suitable, qualitatively or financially acceptable tender has been received or there is no valid response at all;</w:t>
      </w:r>
    </w:p>
    <w:p w14:paraId="3C6D62CE" w14:textId="77777777" w:rsidR="00F14483" w:rsidRDefault="00F70834">
      <w:pPr>
        <w:pStyle w:val="GvdeMetni2"/>
        <w:numPr>
          <w:ilvl w:val="0"/>
          <w:numId w:val="6"/>
        </w:numPr>
        <w:tabs>
          <w:tab w:val="left" w:pos="0"/>
          <w:tab w:val="left" w:pos="630"/>
        </w:tabs>
        <w:spacing w:before="120" w:after="120"/>
        <w:rPr>
          <w:sz w:val="22"/>
          <w:szCs w:val="22"/>
        </w:rPr>
      </w:pPr>
      <w:r>
        <w:rPr>
          <w:sz w:val="22"/>
          <w:szCs w:val="22"/>
        </w:rPr>
        <w:t xml:space="preserve">there are fundamental changes to the economic or technical data of the </w:t>
      </w:r>
      <w:proofErr w:type="gramStart"/>
      <w:r>
        <w:rPr>
          <w:sz w:val="22"/>
          <w:szCs w:val="22"/>
        </w:rPr>
        <w:t>project;</w:t>
      </w:r>
      <w:proofErr w:type="gramEnd"/>
    </w:p>
    <w:p w14:paraId="4B745273" w14:textId="77777777" w:rsidR="00F14483" w:rsidRDefault="00F70834">
      <w:pPr>
        <w:pStyle w:val="GvdeMetni2"/>
        <w:numPr>
          <w:ilvl w:val="0"/>
          <w:numId w:val="6"/>
        </w:numPr>
        <w:tabs>
          <w:tab w:val="left" w:pos="0"/>
          <w:tab w:val="left" w:pos="630"/>
        </w:tabs>
        <w:spacing w:before="120" w:after="120"/>
        <w:rPr>
          <w:sz w:val="22"/>
          <w:szCs w:val="22"/>
        </w:rPr>
      </w:pPr>
      <w:r>
        <w:rPr>
          <w:sz w:val="22"/>
          <w:szCs w:val="22"/>
        </w:rPr>
        <w:t xml:space="preserve">exceptional circumstances or force majeure render normal performance of the contract </w:t>
      </w:r>
      <w:proofErr w:type="gramStart"/>
      <w:r>
        <w:rPr>
          <w:sz w:val="22"/>
          <w:szCs w:val="22"/>
        </w:rPr>
        <w:t>impossible;</w:t>
      </w:r>
      <w:proofErr w:type="gramEnd"/>
    </w:p>
    <w:p w14:paraId="488BE8E8" w14:textId="77777777" w:rsidR="00F14483" w:rsidRDefault="00F70834">
      <w:pPr>
        <w:pStyle w:val="GvdeMetni2"/>
        <w:numPr>
          <w:ilvl w:val="0"/>
          <w:numId w:val="6"/>
        </w:numPr>
        <w:tabs>
          <w:tab w:val="left" w:pos="0"/>
          <w:tab w:val="left" w:pos="630"/>
        </w:tabs>
        <w:spacing w:before="120" w:after="120"/>
        <w:rPr>
          <w:sz w:val="22"/>
          <w:szCs w:val="22"/>
        </w:rPr>
      </w:pPr>
      <w:r>
        <w:rPr>
          <w:sz w:val="22"/>
          <w:szCs w:val="22"/>
        </w:rPr>
        <w:lastRenderedPageBreak/>
        <w:t xml:space="preserve">all technically acceptable tenders exceed the financial resources </w:t>
      </w:r>
      <w:proofErr w:type="gramStart"/>
      <w:r>
        <w:rPr>
          <w:sz w:val="22"/>
          <w:szCs w:val="22"/>
        </w:rPr>
        <w:t>available;</w:t>
      </w:r>
      <w:proofErr w:type="gramEnd"/>
    </w:p>
    <w:p w14:paraId="3A72F209" w14:textId="77777777" w:rsidR="00F14483" w:rsidRDefault="00F70834">
      <w:pPr>
        <w:pStyle w:val="GvdeMetni2"/>
        <w:numPr>
          <w:ilvl w:val="0"/>
          <w:numId w:val="6"/>
        </w:numPr>
        <w:tabs>
          <w:tab w:val="left" w:pos="0"/>
          <w:tab w:val="left" w:pos="630"/>
        </w:tabs>
        <w:spacing w:before="120" w:after="120"/>
        <w:rPr>
          <w:sz w:val="22"/>
          <w:szCs w:val="22"/>
        </w:rPr>
      </w:pPr>
      <w:r>
        <w:rPr>
          <w:sz w:val="22"/>
          <w:szCs w:val="22"/>
        </w:rPr>
        <w:t xml:space="preserve">there </w:t>
      </w:r>
      <w:proofErr w:type="gramStart"/>
      <w:r>
        <w:rPr>
          <w:sz w:val="22"/>
          <w:szCs w:val="22"/>
        </w:rPr>
        <w:t>have</w:t>
      </w:r>
      <w:proofErr w:type="gramEnd"/>
      <w:r>
        <w:rPr>
          <w:sz w:val="22"/>
          <w:szCs w:val="22"/>
        </w:rPr>
        <w:t xml:space="preserve"> been breach of obligations, irregularities or frauds in the procedure, in particular if they have prevented fair competition;</w:t>
      </w:r>
    </w:p>
    <w:p w14:paraId="66BC105E" w14:textId="77777777" w:rsidR="00F14483" w:rsidRDefault="00F70834">
      <w:pPr>
        <w:pStyle w:val="GvdeMetni2"/>
        <w:numPr>
          <w:ilvl w:val="0"/>
          <w:numId w:val="6"/>
        </w:numPr>
        <w:tabs>
          <w:tab w:val="left" w:pos="0"/>
          <w:tab w:val="left" w:pos="630"/>
        </w:tabs>
        <w:spacing w:before="120" w:after="120"/>
        <w:rPr>
          <w:sz w:val="22"/>
          <w:szCs w:val="22"/>
        </w:rPr>
      </w:pPr>
      <w:r>
        <w:rPr>
          <w:sz w:val="22"/>
          <w:szCs w:val="22"/>
        </w:rPr>
        <w:t xml:space="preserve">the award is not in compliance with sound financial management, </w:t>
      </w:r>
      <w:proofErr w:type="gramStart"/>
      <w:r>
        <w:rPr>
          <w:sz w:val="22"/>
          <w:szCs w:val="22"/>
        </w:rPr>
        <w:t>i.e.</w:t>
      </w:r>
      <w:proofErr w:type="gramEnd"/>
      <w:r>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p>
    <w:p w14:paraId="57CCE2D4" w14:textId="77777777" w:rsidR="00F14483" w:rsidRDefault="00F70834">
      <w:pPr>
        <w:pStyle w:val="GvdeMetni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6A26C271" w14:textId="77777777" w:rsidR="00F14483" w:rsidRDefault="00F70834">
      <w:pPr>
        <w:keepNext/>
        <w:keepLines/>
        <w:numPr>
          <w:ilvl w:val="0"/>
          <w:numId w:val="4"/>
        </w:numPr>
        <w:spacing w:before="120" w:after="120"/>
        <w:jc w:val="both"/>
        <w:rPr>
          <w:b/>
          <w:sz w:val="24"/>
          <w:szCs w:val="24"/>
        </w:rPr>
      </w:pPr>
      <w:r>
        <w:rPr>
          <w:b/>
          <w:sz w:val="24"/>
          <w:szCs w:val="24"/>
        </w:rPr>
        <w:t>Appeals</w:t>
      </w:r>
    </w:p>
    <w:p w14:paraId="6BFE6AAD" w14:textId="77777777" w:rsidR="00F14483" w:rsidRDefault="00F70834">
      <w:pPr>
        <w:pStyle w:val="GvdeMetni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14:paraId="1A4F51D5" w14:textId="77777777" w:rsidR="00F14483" w:rsidRDefault="00F70834">
      <w:pPr>
        <w:keepNext/>
        <w:spacing w:before="120" w:after="120"/>
        <w:jc w:val="both"/>
        <w:rPr>
          <w:b/>
          <w:bCs/>
          <w:sz w:val="24"/>
          <w:szCs w:val="24"/>
        </w:rPr>
      </w:pPr>
      <w:r>
        <w:rPr>
          <w:b/>
          <w:bCs/>
          <w:sz w:val="24"/>
          <w:szCs w:val="24"/>
        </w:rPr>
        <w:t>17. Data Protection</w:t>
      </w:r>
    </w:p>
    <w:p w14:paraId="700309E7" w14:textId="77777777" w:rsidR="00F14483" w:rsidRDefault="00F70834">
      <w:pPr>
        <w:spacing w:before="120"/>
        <w:jc w:val="both"/>
        <w:rPr>
          <w:sz w:val="22"/>
          <w:szCs w:val="22"/>
        </w:rPr>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F9FE598" w14:textId="77777777" w:rsidR="00F14483" w:rsidRDefault="00F70834">
      <w:pPr>
        <w:spacing w:before="120"/>
        <w:jc w:val="both"/>
        <w:rPr>
          <w:sz w:val="22"/>
          <w:szCs w:val="22"/>
        </w:rPr>
      </w:pPr>
      <w:r>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7437C9AA" w14:textId="77777777" w:rsidR="00F14483" w:rsidRDefault="00F70834">
      <w:pPr>
        <w:spacing w:before="120"/>
        <w:jc w:val="both"/>
        <w:rPr>
          <w:sz w:val="22"/>
          <w:szCs w:val="22"/>
        </w:rPr>
      </w:pPr>
      <w:r>
        <w:rPr>
          <w:sz w:val="22"/>
          <w:szCs w:val="22"/>
        </w:rPr>
        <w:t>Details concerning processing of your personal data by the Commission are available on the privacy statement at:</w:t>
      </w:r>
    </w:p>
    <w:p w14:paraId="1B40699C" w14:textId="77777777" w:rsidR="00F14483" w:rsidRDefault="00F70834">
      <w:pPr>
        <w:spacing w:before="120"/>
        <w:jc w:val="both"/>
        <w:rPr>
          <w:sz w:val="22"/>
          <w:szCs w:val="22"/>
        </w:rPr>
      </w:pPr>
      <w:r>
        <w:rPr>
          <w:sz w:val="22"/>
          <w:szCs w:val="22"/>
        </w:rPr>
        <w:t>http://ec.europa.eu/europeaid/prag/annexes.do?chapterTitleCode=A  </w:t>
      </w:r>
    </w:p>
    <w:p w14:paraId="11203A0D" w14:textId="77777777" w:rsidR="00F14483" w:rsidRDefault="00F14483">
      <w:pPr>
        <w:spacing w:before="120"/>
        <w:jc w:val="both"/>
        <w:rPr>
          <w:sz w:val="22"/>
          <w:szCs w:val="22"/>
        </w:rPr>
      </w:pPr>
    </w:p>
    <w:p w14:paraId="1C5FB6ED" w14:textId="77777777" w:rsidR="00F14483" w:rsidRDefault="00F70834">
      <w:pPr>
        <w:spacing w:before="120"/>
        <w:jc w:val="both"/>
        <w:rPr>
          <w:sz w:val="22"/>
          <w:szCs w:val="22"/>
        </w:rPr>
      </w:pPr>
      <w:r>
        <w:rPr>
          <w:sz w:val="22"/>
          <w:szCs w:val="22"/>
        </w:rPr>
        <w:t>In cases where you are processing personal data in the context of participation to a tender (</w:t>
      </w:r>
      <w:proofErr w:type="gramStart"/>
      <w:r>
        <w:rPr>
          <w:sz w:val="22"/>
          <w:szCs w:val="22"/>
        </w:rPr>
        <w:t>e.g.</w:t>
      </w:r>
      <w:proofErr w:type="gramEnd"/>
      <w:r>
        <w:rPr>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EF97066" w14:textId="77777777" w:rsidR="00F14483" w:rsidRDefault="00F70834">
      <w:pPr>
        <w:keepNext/>
        <w:spacing w:before="240" w:after="240"/>
        <w:jc w:val="both"/>
        <w:rPr>
          <w:b/>
          <w:bCs/>
          <w:sz w:val="24"/>
          <w:szCs w:val="24"/>
        </w:rPr>
      </w:pPr>
      <w:r>
        <w:rPr>
          <w:b/>
          <w:bCs/>
          <w:sz w:val="24"/>
          <w:szCs w:val="24"/>
        </w:rPr>
        <w:t>18.</w:t>
      </w:r>
      <w:r>
        <w:rPr>
          <w:b/>
          <w:bCs/>
          <w:sz w:val="24"/>
          <w:szCs w:val="24"/>
        </w:rPr>
        <w:tab/>
        <w:t>Early detection and exclusion system</w:t>
      </w:r>
    </w:p>
    <w:p w14:paraId="6259CBC6" w14:textId="77777777" w:rsidR="00F14483" w:rsidRDefault="00F70834">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rsidR="00F14483">
      <w:footerReference w:type="even" r:id="rId11"/>
      <w:footerReference w:type="default" r:id="rId12"/>
      <w:headerReference w:type="first" r:id="rId13"/>
      <w:footerReference w:type="first" r:id="rId14"/>
      <w:pgSz w:w="11906" w:h="16838"/>
      <w:pgMar w:top="1440" w:right="1800" w:bottom="1440" w:left="1800" w:header="720" w:footer="720" w:gutter="0"/>
      <w:cols w:space="708"/>
      <w:formProt w:val="0"/>
      <w:titlePg/>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6E640" w14:textId="77777777" w:rsidR="009E725A" w:rsidRDefault="009E725A">
      <w:r>
        <w:separator/>
      </w:r>
    </w:p>
  </w:endnote>
  <w:endnote w:type="continuationSeparator" w:id="0">
    <w:p w14:paraId="10F1B13B" w14:textId="77777777" w:rsidR="009E725A" w:rsidRDefault="009E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A2"/>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8DCA" w14:textId="684A1E24" w:rsidR="00F14483" w:rsidRDefault="009E725A">
    <w:pPr>
      <w:pStyle w:val="AltBilgi"/>
    </w:pPr>
    <w:r>
      <w:rPr>
        <w:noProof/>
      </w:rPr>
      <w:pict w14:anchorId="416F5CDB">
        <v:rect id="Frame1" o:spid="_x0000_s1025" alt="" style="position:absolute;margin-left:0;margin-top:.05pt;width:1.2pt;height:11.5pt;z-index:-1;visibility:visible;mso-wrap-style:square;mso-wrap-edited:f;mso-width-percent:0;mso-height-percent:0;mso-wrap-distance-left:0;mso-wrap-distance-top:0;mso-wrap-distance-right:0;mso-wrap-distance-bottom:0;mso-position-horizontal:center;mso-position-horizontal-relative:margin;mso-position-vertical:absolute;mso-position-vertical-relative:text;mso-width-percent:0;mso-height-percent:0;v-text-anchor:top" o:allowincell="f" filled="f" stroked="f" strokeweight="0">
          <v:textbox style="mso-fit-shape-to-text:t" inset="0,0,0,0">
            <w:txbxContent>
              <w:p w14:paraId="3538D9C3" w14:textId="77777777" w:rsidR="00F14483" w:rsidRDefault="00F70834">
                <w:pPr>
                  <w:pStyle w:val="AltBilgi"/>
                  <w:rPr>
                    <w:rStyle w:val="SayfaNumaras"/>
                  </w:rPr>
                </w:pPr>
                <w:r>
                  <w:rPr>
                    <w:rStyle w:val="SayfaNumaras"/>
                  </w:rPr>
                  <w:fldChar w:fldCharType="begin"/>
                </w:r>
                <w:r>
                  <w:rPr>
                    <w:rStyle w:val="SayfaNumaras"/>
                  </w:rPr>
                  <w:instrText>PAGE</w:instrText>
                </w:r>
                <w:r>
                  <w:rPr>
                    <w:rStyle w:val="SayfaNumaras"/>
                  </w:rPr>
                  <w:fldChar w:fldCharType="separate"/>
                </w:r>
                <w:r>
                  <w:rPr>
                    <w:rStyle w:val="SayfaNumaras"/>
                  </w:rPr>
                  <w:t>0</w:t>
                </w:r>
                <w:r>
                  <w:rPr>
                    <w:rStyle w:val="SayfaNumaras"/>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11537" w14:textId="77777777" w:rsidR="00F14483" w:rsidRDefault="00F70834">
    <w:pPr>
      <w:pStyle w:val="AltBilgi"/>
      <w:tabs>
        <w:tab w:val="clear" w:pos="4320"/>
        <w:tab w:val="clear" w:pos="8640"/>
        <w:tab w:val="right" w:pos="8080"/>
      </w:tabs>
      <w:spacing w:before="120"/>
      <w:rPr>
        <w:rStyle w:val="SayfaNumaras"/>
        <w:sz w:val="18"/>
        <w:szCs w:val="18"/>
      </w:rPr>
    </w:pPr>
    <w:r>
      <w:rPr>
        <w:b/>
      </w:rPr>
      <w:t>December 2021</w:t>
    </w:r>
    <w:r>
      <w:rPr>
        <w:rFonts w:ascii="Arial" w:hAnsi="Arial"/>
      </w:rPr>
      <w:tab/>
    </w:r>
    <w:r>
      <w:rPr>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7</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8</w:t>
    </w:r>
    <w:r>
      <w:rPr>
        <w:rStyle w:val="SayfaNumaras"/>
        <w:sz w:val="18"/>
        <w:szCs w:val="18"/>
      </w:rPr>
      <w:fldChar w:fldCharType="end"/>
    </w:r>
  </w:p>
  <w:p w14:paraId="01079648" w14:textId="77777777" w:rsidR="00F14483" w:rsidRDefault="00F70834">
    <w:pPr>
      <w:pStyle w:val="AltBilgi"/>
      <w:tabs>
        <w:tab w:val="clear" w:pos="4320"/>
        <w:tab w:val="clear" w:pos="8640"/>
        <w:tab w:val="right" w:pos="8080"/>
      </w:tabs>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b8o5_itt_simp_en.docx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41739" w14:textId="77777777" w:rsidR="00F14483" w:rsidRDefault="00F70834">
    <w:pPr>
      <w:pStyle w:val="AltBilgi"/>
      <w:tabs>
        <w:tab w:val="clear" w:pos="4320"/>
        <w:tab w:val="clear" w:pos="8640"/>
        <w:tab w:val="right" w:pos="8080"/>
      </w:tabs>
      <w:spacing w:before="120"/>
      <w:rPr>
        <w:rStyle w:val="SayfaNumaras"/>
        <w:sz w:val="18"/>
        <w:szCs w:val="18"/>
      </w:rPr>
    </w:pPr>
    <w:r>
      <w:rPr>
        <w:b/>
      </w:rPr>
      <w:t>August 2020</w:t>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1</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8</w:t>
    </w:r>
    <w:r>
      <w:rPr>
        <w:rStyle w:val="SayfaNumaras"/>
        <w:sz w:val="18"/>
        <w:szCs w:val="18"/>
      </w:rPr>
      <w:fldChar w:fldCharType="end"/>
    </w:r>
  </w:p>
  <w:p w14:paraId="2D0BB9B4" w14:textId="77777777" w:rsidR="00F14483" w:rsidRDefault="00F70834">
    <w:pPr>
      <w:pStyle w:val="AltBilgi"/>
      <w:tabs>
        <w:tab w:val="clear" w:pos="4320"/>
        <w:tab w:val="clear" w:pos="8640"/>
        <w:tab w:val="right" w:pos="8080"/>
      </w:tabs>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b8o5_itt_simp_en.docx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F0D00" w14:textId="77777777" w:rsidR="009E725A" w:rsidRDefault="009E725A">
      <w:pPr>
        <w:rPr>
          <w:sz w:val="12"/>
        </w:rPr>
      </w:pPr>
      <w:r>
        <w:separator/>
      </w:r>
    </w:p>
  </w:footnote>
  <w:footnote w:type="continuationSeparator" w:id="0">
    <w:p w14:paraId="370D4519" w14:textId="77777777" w:rsidR="009E725A" w:rsidRDefault="009E725A">
      <w:pPr>
        <w:rPr>
          <w:sz w:val="12"/>
        </w:rPr>
      </w:pPr>
      <w:r>
        <w:continuationSeparator/>
      </w:r>
    </w:p>
  </w:footnote>
  <w:footnote w:id="1">
    <w:p w14:paraId="5FEC76A7" w14:textId="77777777" w:rsidR="00F14483" w:rsidRDefault="00F70834">
      <w:pPr>
        <w:pStyle w:val="DipnotMetni"/>
      </w:pPr>
      <w:r>
        <w:rPr>
          <w:rStyle w:val="FootnoteCharacters"/>
        </w:rPr>
        <w:footnoteRef/>
      </w:r>
      <w:r>
        <w:t xml:space="preserve"> See PRAG 2.6.10.1.3 A)</w:t>
      </w:r>
    </w:p>
  </w:footnote>
  <w:footnote w:id="2">
    <w:p w14:paraId="0D90C4CE" w14:textId="77777777" w:rsidR="00F14483" w:rsidRDefault="00F70834">
      <w:pPr>
        <w:pStyle w:val="DipnotMetni"/>
      </w:pPr>
      <w:r>
        <w:rPr>
          <w:rStyle w:val="FootnoteCharacters"/>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042A" w14:textId="77777777" w:rsidR="00F14483" w:rsidRDefault="00F70834">
    <w:pPr>
      <w:pStyle w:val="stBilgi"/>
      <w:jc w:val="center"/>
      <w:rPr>
        <w:b/>
        <w:sz w:val="32"/>
        <w:szCs w:val="32"/>
      </w:rPr>
    </w:pPr>
    <w:r>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487E"/>
    <w:multiLevelType w:val="multilevel"/>
    <w:tmpl w:val="95B4937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B82BA5"/>
    <w:multiLevelType w:val="multilevel"/>
    <w:tmpl w:val="2D0CABF8"/>
    <w:lvl w:ilvl="0">
      <w:start w:val="1"/>
      <w:numFmt w:val="decimal"/>
      <w:lvlText w:val="(%1)"/>
      <w:lvlJc w:val="left"/>
      <w:pPr>
        <w:tabs>
          <w:tab w:val="num" w:pos="1980"/>
        </w:tabs>
        <w:ind w:left="1980"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EF54CCD"/>
    <w:multiLevelType w:val="multilevel"/>
    <w:tmpl w:val="377CE1EE"/>
    <w:lvl w:ilvl="0">
      <w:start w:val="1"/>
      <w:numFmt w:val="decimal"/>
      <w:lvlText w:val="%1."/>
      <w:lvlJc w:val="left"/>
      <w:pPr>
        <w:tabs>
          <w:tab w:val="num" w:pos="420"/>
        </w:tabs>
        <w:ind w:left="420" w:hanging="420"/>
      </w:pPr>
      <w:rPr>
        <w:rFonts w:ascii="Times New Roman" w:hAnsi="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5CE1C2B"/>
    <w:multiLevelType w:val="multilevel"/>
    <w:tmpl w:val="898409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CA97235"/>
    <w:multiLevelType w:val="multilevel"/>
    <w:tmpl w:val="38A80D2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93C1457"/>
    <w:multiLevelType w:val="multilevel"/>
    <w:tmpl w:val="1E7E0AD4"/>
    <w:lvl w:ilvl="0">
      <w:start w:val="1"/>
      <w:numFmt w:val="lowerLetter"/>
      <w:lvlText w:val="%1)"/>
      <w:lvlJc w:val="left"/>
      <w:pPr>
        <w:tabs>
          <w:tab w:val="num" w:pos="570"/>
        </w:tabs>
        <w:ind w:left="570" w:hanging="5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43E4D32"/>
    <w:multiLevelType w:val="multilevel"/>
    <w:tmpl w:val="5F42037A"/>
    <w:lvl w:ilvl="0">
      <w:start w:val="1"/>
      <w:numFmt w:val="lowerLetter"/>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1865"/>
        </w:tabs>
        <w:ind w:left="1865" w:hanging="360"/>
      </w:pPr>
    </w:lvl>
    <w:lvl w:ilvl="3">
      <w:start w:val="1"/>
      <w:numFmt w:val="decimal"/>
      <w:lvlText w:val="%4."/>
      <w:lvlJc w:val="left"/>
      <w:pPr>
        <w:tabs>
          <w:tab w:val="num" w:pos="2225"/>
        </w:tabs>
        <w:ind w:left="2225" w:hanging="360"/>
      </w:pPr>
    </w:lvl>
    <w:lvl w:ilvl="4">
      <w:start w:val="1"/>
      <w:numFmt w:val="decimal"/>
      <w:lvlText w:val="%5."/>
      <w:lvlJc w:val="left"/>
      <w:pPr>
        <w:tabs>
          <w:tab w:val="num" w:pos="2585"/>
        </w:tabs>
        <w:ind w:left="2585" w:hanging="360"/>
      </w:pPr>
    </w:lvl>
    <w:lvl w:ilvl="5">
      <w:start w:val="1"/>
      <w:numFmt w:val="decimal"/>
      <w:lvlText w:val="%6."/>
      <w:lvlJc w:val="left"/>
      <w:pPr>
        <w:tabs>
          <w:tab w:val="num" w:pos="2945"/>
        </w:tabs>
        <w:ind w:left="2945" w:hanging="360"/>
      </w:pPr>
    </w:lvl>
    <w:lvl w:ilvl="6">
      <w:start w:val="1"/>
      <w:numFmt w:val="decimal"/>
      <w:lvlText w:val="%7."/>
      <w:lvlJc w:val="left"/>
      <w:pPr>
        <w:tabs>
          <w:tab w:val="num" w:pos="3305"/>
        </w:tabs>
        <w:ind w:left="3305" w:hanging="360"/>
      </w:pPr>
    </w:lvl>
    <w:lvl w:ilvl="7">
      <w:start w:val="1"/>
      <w:numFmt w:val="decimal"/>
      <w:lvlText w:val="%8."/>
      <w:lvlJc w:val="left"/>
      <w:pPr>
        <w:tabs>
          <w:tab w:val="num" w:pos="3665"/>
        </w:tabs>
        <w:ind w:left="3665" w:hanging="360"/>
      </w:pPr>
    </w:lvl>
    <w:lvl w:ilvl="8">
      <w:start w:val="1"/>
      <w:numFmt w:val="decimal"/>
      <w:lvlText w:val="%9."/>
      <w:lvlJc w:val="left"/>
      <w:pPr>
        <w:tabs>
          <w:tab w:val="num" w:pos="4025"/>
        </w:tabs>
        <w:ind w:left="4025" w:hanging="360"/>
      </w:pPr>
    </w:lvl>
  </w:abstractNum>
  <w:abstractNum w:abstractNumId="7" w15:restartNumberingAfterBreak="0">
    <w:nsid w:val="7F426C40"/>
    <w:multiLevelType w:val="multilevel"/>
    <w:tmpl w:val="62689340"/>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33940809">
    <w:abstractNumId w:val="5"/>
  </w:num>
  <w:num w:numId="2" w16cid:durableId="1744570059">
    <w:abstractNumId w:val="1"/>
  </w:num>
  <w:num w:numId="3" w16cid:durableId="1322269048">
    <w:abstractNumId w:val="7"/>
  </w:num>
  <w:num w:numId="4" w16cid:durableId="1210188779">
    <w:abstractNumId w:val="2"/>
  </w:num>
  <w:num w:numId="5" w16cid:durableId="1746688173">
    <w:abstractNumId w:val="6"/>
  </w:num>
  <w:num w:numId="6" w16cid:durableId="456262628">
    <w:abstractNumId w:val="0"/>
  </w:num>
  <w:num w:numId="7" w16cid:durableId="2110273166">
    <w:abstractNumId w:val="4"/>
  </w:num>
  <w:num w:numId="8" w16cid:durableId="1043284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oNotTrackMoves/>
  <w:defaultTabStop w:val="720"/>
  <w:autoHyphenation/>
  <w:hyphenationZone w:val="425"/>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4483"/>
    <w:rsid w:val="00102437"/>
    <w:rsid w:val="004477FA"/>
    <w:rsid w:val="00943FB8"/>
    <w:rsid w:val="009D4BA5"/>
    <w:rsid w:val="009E725A"/>
    <w:rsid w:val="00A41CA5"/>
    <w:rsid w:val="00E42206"/>
    <w:rsid w:val="00E56292"/>
    <w:rsid w:val="00F14483"/>
    <w:rsid w:val="00F7083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E184FEB"/>
  <w15:docId w15:val="{10ECA177-1FD6-D846-B18F-B5B2AD7D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pPr>
      <w:suppressAutoHyphens/>
    </w:pPr>
    <w:rPr>
      <w:lang w:val="en-GB" w:eastAsia="en-GB"/>
    </w:rPr>
  </w:style>
  <w:style w:type="paragraph" w:styleId="Balk1">
    <w:name w:val="heading 1"/>
    <w:basedOn w:val="Normal"/>
    <w:next w:val="Normal"/>
    <w:qFormat/>
    <w:pPr>
      <w:keepNext/>
      <w:spacing w:before="240"/>
      <w:jc w:val="center"/>
      <w:outlineLvl w:val="0"/>
    </w:pPr>
    <w:rPr>
      <w:b/>
      <w:sz w:val="24"/>
      <w:lang w:val="fr-BE"/>
    </w:rPr>
  </w:style>
  <w:style w:type="paragraph" w:styleId="Balk2">
    <w:name w:val="heading 2"/>
    <w:basedOn w:val="Normal"/>
    <w:next w:val="Normal"/>
    <w:qFormat/>
    <w:pPr>
      <w:keepNext/>
      <w:tabs>
        <w:tab w:val="left" w:pos="426"/>
      </w:tabs>
      <w:outlineLvl w:val="1"/>
    </w:pPr>
    <w:rPr>
      <w:sz w:val="24"/>
      <w:lang w:val="fr-BE"/>
    </w:rPr>
  </w:style>
  <w:style w:type="paragraph" w:styleId="Balk3">
    <w:name w:val="heading 3"/>
    <w:basedOn w:val="Normal"/>
    <w:next w:val="Normal"/>
    <w:qFormat/>
    <w:pPr>
      <w:keepNext/>
      <w:outlineLvl w:val="2"/>
    </w:pPr>
    <w:rPr>
      <w:sz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styleId="Vurgu">
    <w:name w:val="Emphasis"/>
    <w:qFormat/>
    <w:rPr>
      <w:i/>
    </w:rPr>
  </w:style>
  <w:style w:type="character" w:styleId="Gl">
    <w:name w:val="Strong"/>
    <w:qFormat/>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zlenenKpr">
    <w:name w:val="FollowedHyperlink"/>
    <w:rsid w:val="00AD4777"/>
    <w:rPr>
      <w:color w:val="606420"/>
      <w:u w:val="single"/>
    </w:rPr>
  </w:style>
  <w:style w:type="character" w:customStyle="1" w:styleId="FootnoteCharacters">
    <w:name w:val="Footnote Characters"/>
    <w:qFormat/>
    <w:rsid w:val="00CB5FF3"/>
    <w:rPr>
      <w:vertAlign w:val="superscript"/>
    </w:rPr>
  </w:style>
  <w:style w:type="character" w:customStyle="1" w:styleId="FootnoteAnchor">
    <w:name w:val="Footnote Anchor"/>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GvdeMetni2Char">
    <w:name w:val="Gövde Metni 2 Char"/>
    <w:link w:val="GvdeMetni2"/>
    <w:qFormat/>
    <w:rsid w:val="0056210A"/>
    <w:rPr>
      <w:sz w:val="24"/>
    </w:rPr>
  </w:style>
  <w:style w:type="character" w:styleId="AklamaBavurusu">
    <w:name w:val="annotation reference"/>
    <w:qFormat/>
    <w:rsid w:val="0017009E"/>
    <w:rPr>
      <w:sz w:val="16"/>
      <w:szCs w:val="16"/>
    </w:rPr>
  </w:style>
  <w:style w:type="character" w:customStyle="1" w:styleId="AklamaMetniChar">
    <w:name w:val="Açıklama Metni Char"/>
    <w:basedOn w:val="VarsaylanParagrafYazTipi"/>
    <w:link w:val="AklamaMetni"/>
    <w:qFormat/>
    <w:rsid w:val="0017009E"/>
  </w:style>
  <w:style w:type="character" w:customStyle="1" w:styleId="AklamaKonusuChar">
    <w:name w:val="Açıklama Konusu Char"/>
    <w:link w:val="AklamaKonusu"/>
    <w:qFormat/>
    <w:rsid w:val="0017009E"/>
    <w:rPr>
      <w:b/>
      <w:bCs/>
    </w:rPr>
  </w:style>
  <w:style w:type="character" w:customStyle="1" w:styleId="GvdeMetniChar">
    <w:name w:val="Gövde Metni Char"/>
    <w:link w:val="GvdeMetni"/>
    <w:qFormat/>
    <w:rsid w:val="00AD6A02"/>
    <w:rPr>
      <w:sz w:val="24"/>
    </w:rPr>
  </w:style>
  <w:style w:type="character" w:customStyle="1" w:styleId="DipnotMetniChar">
    <w:name w:val="Dipnot Metni Char"/>
    <w:link w:val="DipnotMetni"/>
    <w:qFormat/>
    <w:rsid w:val="00EB1484"/>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normaltextrun">
    <w:name w:val="normaltextrun"/>
    <w:qFormat/>
    <w:rsid w:val="000940DD"/>
  </w:style>
  <w:style w:type="character" w:customStyle="1" w:styleId="spellingerror">
    <w:name w:val="spellingerror"/>
    <w:qFormat/>
    <w:rsid w:val="000940DD"/>
  </w:style>
  <w:style w:type="character" w:customStyle="1" w:styleId="eop">
    <w:name w:val="eop"/>
    <w:qFormat/>
    <w:rsid w:val="000940DD"/>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link w:val="GvdeMetniChar"/>
    <w:rPr>
      <w:sz w:val="24"/>
    </w:r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after="120"/>
      <w:ind w:left="567" w:hanging="567"/>
      <w:jc w:val="both"/>
    </w:pPr>
    <w:rPr>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spacing w:after="120"/>
      <w:ind w:left="1276" w:hanging="425"/>
      <w:jc w:val="both"/>
    </w:pPr>
    <w:rPr>
      <w:sz w:val="24"/>
    </w:rPr>
  </w:style>
  <w:style w:type="paragraph" w:styleId="GvdeMetni2">
    <w:name w:val="Body Text 2"/>
    <w:basedOn w:val="Normal"/>
    <w:link w:val="GvdeMetni2Char"/>
    <w:qFormat/>
    <w:pPr>
      <w:tabs>
        <w:tab w:val="left" w:pos="567"/>
      </w:tabs>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customStyle="1" w:styleId="Blockquote">
    <w:name w:val="Blockquote"/>
    <w:basedOn w:val="Normal"/>
    <w:qFormat/>
    <w:pPr>
      <w:widowControl w:val="0"/>
      <w:spacing w:before="100" w:after="100"/>
      <w:ind w:left="360" w:right="360"/>
    </w:pPr>
    <w:rPr>
      <w:sz w:val="24"/>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sz w:val="24"/>
      <w:lang w:val="en-US" w:eastAsia="en-US"/>
    </w:rPr>
  </w:style>
  <w:style w:type="paragraph" w:customStyle="1" w:styleId="Char2">
    <w:name w:val="Char2"/>
    <w:basedOn w:val="Normal"/>
    <w:qFormat/>
    <w:rsid w:val="006A651E"/>
    <w:pPr>
      <w:spacing w:after="160" w:line="240" w:lineRule="exact"/>
    </w:pPr>
    <w:rPr>
      <w:rFonts w:ascii="Tahoma" w:hAnsi="Tahoma"/>
      <w:lang w:val="en-US" w:eastAsia="en-US"/>
    </w:rPr>
  </w:style>
  <w:style w:type="paragraph" w:styleId="DipnotMetni">
    <w:name w:val="footnote text"/>
    <w:basedOn w:val="Normal"/>
    <w:link w:val="DipnotMetniChar"/>
    <w:autoRedefine/>
    <w:qFormat/>
    <w:rsid w:val="00543D27"/>
    <w:pPr>
      <w:spacing w:after="60"/>
    </w:pPr>
  </w:style>
  <w:style w:type="paragraph" w:styleId="BalonMetni">
    <w:name w:val="Balloon Text"/>
    <w:basedOn w:val="Normal"/>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sz w:val="24"/>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0"/>
        <w:left w:val="single" w:sz="4" w:space="4" w:color="000000"/>
        <w:bottom w:val="single" w:sz="4" w:space="1" w:color="000000"/>
        <w:right w:val="single" w:sz="4" w:space="4" w:color="000000"/>
      </w:pBdr>
    </w:pPr>
    <w:rPr>
      <w:sz w:val="22"/>
      <w:szCs w:val="22"/>
    </w:rPr>
  </w:style>
  <w:style w:type="paragraph" w:styleId="AklamaMetni">
    <w:name w:val="annotation text"/>
    <w:basedOn w:val="Normal"/>
    <w:link w:val="AklamaMetniChar"/>
    <w:qFormat/>
    <w:rsid w:val="0017009E"/>
  </w:style>
  <w:style w:type="paragraph" w:styleId="AklamaKonusu">
    <w:name w:val="annotation subject"/>
    <w:basedOn w:val="AklamaMetni"/>
    <w:next w:val="AklamaMetni"/>
    <w:link w:val="AklamaKonusuChar"/>
    <w:qFormat/>
    <w:rsid w:val="0017009E"/>
    <w:rPr>
      <w:b/>
      <w:bCs/>
    </w:rPr>
  </w:style>
  <w:style w:type="paragraph" w:styleId="Dzeltme">
    <w:name w:val="Revision"/>
    <w:uiPriority w:val="99"/>
    <w:semiHidden/>
    <w:qFormat/>
    <w:rsid w:val="00687AA2"/>
    <w:pPr>
      <w:suppressAutoHyphens/>
    </w:pPr>
    <w:rPr>
      <w:lang w:val="en-GB" w:eastAsia="en-GB"/>
    </w:rPr>
  </w:style>
  <w:style w:type="paragraph" w:customStyle="1" w:styleId="FrameContents">
    <w:name w:val="Frame Contents"/>
    <w:basedOn w:val="Normal"/>
    <w:qFormat/>
  </w:style>
  <w:style w:type="paragraph" w:customStyle="1" w:styleId="textcslovan">
    <w:name w:val="text císlovaný"/>
    <w:basedOn w:val="Normal"/>
    <w:rsid w:val="00102437"/>
    <w:pPr>
      <w:widowControl w:val="0"/>
      <w:suppressAutoHyphens w:val="0"/>
      <w:spacing w:before="240" w:line="240" w:lineRule="exact"/>
      <w:ind w:left="567" w:hanging="567"/>
      <w:jc w:val="both"/>
    </w:pPr>
    <w:rPr>
      <w:rFonts w:ascii="Arial" w:hAnsi="Arial"/>
      <w:snapToGrid w:val="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8ECBE-355A-4599-A916-A4AE8452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8</Pages>
  <Words>3700</Words>
  <Characters>21094</Characters>
  <Application>Microsoft Office Word</Application>
  <DocSecurity>0</DocSecurity>
  <Lines>175</Lines>
  <Paragraphs>49</Paragraphs>
  <ScaleCrop>false</ScaleCrop>
  <Company>European Commission</Company>
  <LinksUpToDate>false</LinksUpToDate>
  <CharactersWithSpaces>24745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nazife ahmedova</cp:lastModifiedBy>
  <cp:revision>31</cp:revision>
  <cp:lastPrinted>2012-09-25T14:41:00Z</cp:lastPrinted>
  <dcterms:created xsi:type="dcterms:W3CDTF">2018-12-18T11:34:00Z</dcterms:created>
  <dcterms:modified xsi:type="dcterms:W3CDTF">2022-04-05T05:57:00Z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