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2D" w:rsidRPr="000D712D" w:rsidRDefault="000D712D">
      <w:pPr>
        <w:jc w:val="center"/>
        <w:rPr>
          <w:sz w:val="22"/>
          <w:szCs w:val="22"/>
        </w:rPr>
      </w:pPr>
    </w:p>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810A6E" w:rsidRPr="000D712D" w:rsidRDefault="0045170B">
      <w:pPr>
        <w:jc w:val="center"/>
        <w:rPr>
          <w:rStyle w:val="Gl"/>
          <w:sz w:val="22"/>
          <w:szCs w:val="22"/>
        </w:rPr>
      </w:pPr>
      <w:r w:rsidRPr="0045170B">
        <w:rPr>
          <w:rStyle w:val="Gl"/>
          <w:sz w:val="22"/>
          <w:szCs w:val="22"/>
        </w:rPr>
        <w:t>Construction works for multipurpose hall in Culture and Art Center under project CB005.2.21.083 for the needs of Municipality of Buyukkaristiran</w:t>
      </w:r>
      <w:r w:rsidR="00810A6E" w:rsidRPr="000D712D">
        <w:rPr>
          <w:rStyle w:val="Gl"/>
          <w:sz w:val="22"/>
          <w:szCs w:val="22"/>
        </w:rPr>
        <w:br/>
      </w:r>
      <w:r>
        <w:rPr>
          <w:rStyle w:val="Gl"/>
          <w:sz w:val="22"/>
          <w:szCs w:val="22"/>
        </w:rPr>
        <w:t>Büyükkarıştıran , Kırklareli , Turkey</w:t>
      </w:r>
      <w:r w:rsidR="00AE7D74" w:rsidRPr="000D712D">
        <w:rPr>
          <w:rStyle w:val="Gl"/>
          <w:sz w:val="28"/>
          <w:szCs w:val="28"/>
        </w:rPr>
        <w:t xml:space="preserve">, </w:t>
      </w:r>
      <w:r>
        <w:rPr>
          <w:rStyle w:val="Gl"/>
          <w:sz w:val="28"/>
          <w:szCs w:val="28"/>
        </w:rPr>
        <w:t>TUR</w:t>
      </w:r>
    </w:p>
    <w:p w:rsidR="00810A6E" w:rsidRPr="000D712D" w:rsidRDefault="00810A6E">
      <w:pPr>
        <w:rPr>
          <w:sz w:val="22"/>
          <w:szCs w:val="22"/>
        </w:rPr>
      </w:pPr>
    </w:p>
    <w:p w:rsidR="00810A6E" w:rsidRPr="000D712D" w:rsidRDefault="00810A6E">
      <w:pPr>
        <w:ind w:left="709" w:hanging="425"/>
        <w:outlineLvl w:val="0"/>
        <w:rPr>
          <w:rStyle w:val="Gl"/>
          <w:sz w:val="22"/>
          <w:szCs w:val="22"/>
        </w:rPr>
      </w:pPr>
      <w:r w:rsidRPr="000D712D">
        <w:rPr>
          <w:rStyle w:val="Gl"/>
          <w:sz w:val="22"/>
          <w:szCs w:val="22"/>
        </w:rPr>
        <w:t xml:space="preserve">1. </w:t>
      </w:r>
      <w:r w:rsidR="00877CE4">
        <w:rPr>
          <w:rStyle w:val="Gl"/>
          <w:sz w:val="22"/>
          <w:szCs w:val="22"/>
        </w:rPr>
        <w:t>Type of procedure</w:t>
      </w:r>
    </w:p>
    <w:p w:rsidR="0045170B" w:rsidRDefault="0045170B">
      <w:pPr>
        <w:ind w:left="709" w:hanging="425"/>
        <w:outlineLvl w:val="0"/>
        <w:rPr>
          <w:rStyle w:val="Gl"/>
          <w:b w:val="0"/>
          <w:sz w:val="22"/>
          <w:szCs w:val="22"/>
        </w:rPr>
      </w:pPr>
      <w:r w:rsidRPr="0045170B">
        <w:rPr>
          <w:sz w:val="22"/>
          <w:szCs w:val="22"/>
        </w:rPr>
        <w:t>Simplified</w:t>
      </w:r>
      <w:r w:rsidRPr="0045170B">
        <w:rPr>
          <w:rStyle w:val="Gl"/>
          <w:b w:val="0"/>
          <w:sz w:val="22"/>
          <w:szCs w:val="22"/>
        </w:rPr>
        <w:t xml:space="preserve"> </w:t>
      </w:r>
    </w:p>
    <w:p w:rsidR="00810A6E" w:rsidRPr="000D712D" w:rsidRDefault="00810A6E">
      <w:pPr>
        <w:ind w:left="709" w:hanging="425"/>
        <w:outlineLvl w:val="0"/>
        <w:rPr>
          <w:rStyle w:val="Gl"/>
          <w:sz w:val="22"/>
          <w:szCs w:val="22"/>
        </w:rPr>
      </w:pPr>
      <w:r w:rsidRPr="000D712D">
        <w:rPr>
          <w:rStyle w:val="Gl"/>
          <w:sz w:val="22"/>
          <w:szCs w:val="22"/>
        </w:rPr>
        <w:t xml:space="preserve">2. Publication </w:t>
      </w:r>
      <w:r w:rsidR="00877CE4">
        <w:rPr>
          <w:rStyle w:val="Gl"/>
          <w:sz w:val="22"/>
          <w:szCs w:val="22"/>
        </w:rPr>
        <w:t xml:space="preserve">reference and </w:t>
      </w:r>
      <w:r w:rsidRPr="000D712D">
        <w:rPr>
          <w:rStyle w:val="Gl"/>
          <w:sz w:val="22"/>
          <w:szCs w:val="22"/>
        </w:rPr>
        <w:t xml:space="preserve">date of the </w:t>
      </w:r>
      <w:r w:rsidR="00877CE4">
        <w:rPr>
          <w:rStyle w:val="Gl"/>
          <w:sz w:val="22"/>
          <w:szCs w:val="22"/>
        </w:rPr>
        <w:t>contract</w:t>
      </w:r>
      <w:r w:rsidRPr="000D712D">
        <w:rPr>
          <w:rStyle w:val="Gl"/>
          <w:sz w:val="22"/>
          <w:szCs w:val="22"/>
        </w:rPr>
        <w:t xml:space="preserve"> notice</w:t>
      </w:r>
    </w:p>
    <w:p w:rsidR="00810A6E" w:rsidRPr="000D712D" w:rsidRDefault="00810A6E">
      <w:pPr>
        <w:pStyle w:val="Blockquote"/>
        <w:ind w:left="284"/>
        <w:rPr>
          <w:sz w:val="22"/>
          <w:szCs w:val="22"/>
        </w:rPr>
      </w:pPr>
      <w:r w:rsidRPr="00752028">
        <w:rPr>
          <w:sz w:val="22"/>
          <w:szCs w:val="22"/>
        </w:rPr>
        <w:t>Date</w:t>
      </w:r>
      <w:r w:rsidR="00877CE4" w:rsidRPr="00752028">
        <w:rPr>
          <w:sz w:val="22"/>
          <w:szCs w:val="22"/>
        </w:rPr>
        <w:t xml:space="preserve">, </w:t>
      </w:r>
      <w:r w:rsidR="00752028">
        <w:rPr>
          <w:sz w:val="22"/>
          <w:szCs w:val="22"/>
        </w:rPr>
        <w:t xml:space="preserve">02.11.2020 Ref. No : </w:t>
      </w:r>
      <w:r w:rsidR="00752028" w:rsidRPr="00752028">
        <w:rPr>
          <w:sz w:val="22"/>
          <w:szCs w:val="22"/>
        </w:rPr>
        <w:t>CB005.2.21.083 – PP2 – Works 1</w:t>
      </w:r>
    </w:p>
    <w:p w:rsidR="00810A6E" w:rsidRPr="000D712D" w:rsidRDefault="00810A6E">
      <w:pPr>
        <w:ind w:left="709" w:hanging="425"/>
        <w:outlineLvl w:val="0"/>
        <w:rPr>
          <w:rStyle w:val="Gl"/>
          <w:sz w:val="22"/>
          <w:szCs w:val="22"/>
        </w:rPr>
      </w:pPr>
      <w:r w:rsidRPr="000D712D">
        <w:rPr>
          <w:rStyle w:val="Gl"/>
          <w:sz w:val="22"/>
          <w:szCs w:val="22"/>
        </w:rPr>
        <w:t>3. Lot number and lot title</w:t>
      </w:r>
    </w:p>
    <w:p w:rsidR="00810A6E" w:rsidRPr="000D712D" w:rsidRDefault="00752028">
      <w:pPr>
        <w:pStyle w:val="Blockquote"/>
        <w:ind w:left="284"/>
        <w:rPr>
          <w:sz w:val="22"/>
          <w:szCs w:val="22"/>
        </w:rPr>
      </w:pPr>
      <w:r>
        <w:rPr>
          <w:sz w:val="22"/>
          <w:szCs w:val="22"/>
        </w:rPr>
        <w:t>One lot only</w:t>
      </w:r>
    </w:p>
    <w:p w:rsidR="00810A6E" w:rsidRDefault="00810A6E">
      <w:pPr>
        <w:ind w:left="709" w:hanging="425"/>
        <w:outlineLvl w:val="0"/>
        <w:rPr>
          <w:rStyle w:val="Gl"/>
          <w:sz w:val="22"/>
          <w:szCs w:val="22"/>
        </w:rPr>
      </w:pPr>
      <w:r w:rsidRPr="000D712D">
        <w:rPr>
          <w:rStyle w:val="Gl"/>
          <w:sz w:val="22"/>
          <w:szCs w:val="22"/>
        </w:rPr>
        <w:t xml:space="preserve">4. Contract </w:t>
      </w:r>
      <w:r w:rsidR="00AE7D74" w:rsidRPr="000D712D">
        <w:rPr>
          <w:rStyle w:val="Gl"/>
          <w:sz w:val="22"/>
          <w:szCs w:val="22"/>
        </w:rPr>
        <w:t xml:space="preserve">number and </w:t>
      </w:r>
      <w:r w:rsidRPr="000D712D">
        <w:rPr>
          <w:rStyle w:val="Gl"/>
          <w:sz w:val="22"/>
          <w:szCs w:val="22"/>
        </w:rPr>
        <w:t>value</w:t>
      </w:r>
    </w:p>
    <w:p w:rsidR="00752028" w:rsidRDefault="00752028">
      <w:pPr>
        <w:ind w:left="709" w:hanging="425"/>
        <w:outlineLvl w:val="0"/>
        <w:rPr>
          <w:rStyle w:val="Gl"/>
          <w:b w:val="0"/>
          <w:bCs/>
          <w:sz w:val="22"/>
          <w:szCs w:val="22"/>
        </w:rPr>
      </w:pPr>
      <w:r w:rsidRPr="00752028">
        <w:rPr>
          <w:rStyle w:val="Gl"/>
          <w:b w:val="0"/>
          <w:bCs/>
          <w:sz w:val="22"/>
          <w:szCs w:val="22"/>
        </w:rPr>
        <w:t>No CB005.2.21.083 – PP2 – Works 1</w:t>
      </w:r>
      <w:r w:rsidRPr="00752028">
        <w:rPr>
          <w:rStyle w:val="Gl"/>
          <w:b w:val="0"/>
          <w:bCs/>
          <w:sz w:val="22"/>
          <w:szCs w:val="22"/>
        </w:rPr>
        <w:t xml:space="preserve"> </w:t>
      </w:r>
    </w:p>
    <w:p w:rsidR="00752028" w:rsidRPr="00752028" w:rsidRDefault="00752028">
      <w:pPr>
        <w:ind w:left="709" w:hanging="425"/>
        <w:outlineLvl w:val="0"/>
        <w:rPr>
          <w:rStyle w:val="Gl"/>
          <w:b w:val="0"/>
          <w:bCs/>
          <w:sz w:val="22"/>
          <w:szCs w:val="22"/>
        </w:rPr>
      </w:pPr>
      <w:r>
        <w:rPr>
          <w:rStyle w:val="Gl"/>
          <w:b w:val="0"/>
          <w:bCs/>
          <w:sz w:val="22"/>
          <w:szCs w:val="22"/>
        </w:rPr>
        <w:t xml:space="preserve">Amount : </w:t>
      </w:r>
      <w:r w:rsidRPr="00752028">
        <w:rPr>
          <w:rStyle w:val="Gl"/>
          <w:b w:val="0"/>
          <w:bCs/>
          <w:sz w:val="22"/>
          <w:szCs w:val="22"/>
        </w:rPr>
        <w:t>135.953,00 EUR</w:t>
      </w:r>
    </w:p>
    <w:p w:rsidR="00810A6E" w:rsidRPr="000D712D" w:rsidRDefault="00810A6E">
      <w:pPr>
        <w:ind w:left="709" w:hanging="425"/>
        <w:outlineLvl w:val="0"/>
        <w:rPr>
          <w:rStyle w:val="Gl"/>
          <w:sz w:val="22"/>
          <w:szCs w:val="22"/>
        </w:rPr>
      </w:pPr>
      <w:r w:rsidRPr="000D712D">
        <w:rPr>
          <w:rStyle w:val="Gl"/>
          <w:sz w:val="22"/>
          <w:szCs w:val="22"/>
        </w:rPr>
        <w:t>5. Date of award of the contract</w:t>
      </w:r>
    </w:p>
    <w:p w:rsidR="00810A6E" w:rsidRPr="000D712D" w:rsidRDefault="00752028">
      <w:pPr>
        <w:pStyle w:val="Blockquote"/>
        <w:ind w:left="284"/>
        <w:rPr>
          <w:sz w:val="22"/>
          <w:szCs w:val="22"/>
        </w:rPr>
      </w:pPr>
      <w:r>
        <w:rPr>
          <w:sz w:val="22"/>
          <w:szCs w:val="22"/>
        </w:rPr>
        <w:t>21.12.2020</w:t>
      </w:r>
    </w:p>
    <w:p w:rsidR="00810A6E" w:rsidRPr="000D712D" w:rsidRDefault="00810A6E">
      <w:pPr>
        <w:ind w:left="709" w:hanging="425"/>
        <w:outlineLvl w:val="0"/>
        <w:rPr>
          <w:rStyle w:val="Gl"/>
          <w:sz w:val="22"/>
          <w:szCs w:val="22"/>
        </w:rPr>
      </w:pPr>
      <w:r w:rsidRPr="000D712D">
        <w:rPr>
          <w:rStyle w:val="Gl"/>
          <w:sz w:val="22"/>
          <w:szCs w:val="22"/>
        </w:rPr>
        <w:t>6. Number of tenders received</w:t>
      </w:r>
    </w:p>
    <w:p w:rsidR="00810A6E" w:rsidRPr="000D712D" w:rsidRDefault="00752028">
      <w:pPr>
        <w:pStyle w:val="Blockquote"/>
        <w:ind w:left="284"/>
        <w:rPr>
          <w:sz w:val="22"/>
          <w:szCs w:val="22"/>
        </w:rPr>
      </w:pPr>
      <w:r>
        <w:rPr>
          <w:sz w:val="22"/>
          <w:szCs w:val="22"/>
        </w:rPr>
        <w:t>One</w:t>
      </w:r>
    </w:p>
    <w:p w:rsidR="00810A6E" w:rsidRPr="000D712D" w:rsidRDefault="00810A6E">
      <w:pPr>
        <w:ind w:left="709" w:hanging="425"/>
        <w:outlineLvl w:val="0"/>
        <w:rPr>
          <w:rStyle w:val="Gl"/>
          <w:sz w:val="22"/>
          <w:szCs w:val="22"/>
        </w:rPr>
      </w:pPr>
      <w:r w:rsidRPr="000D712D">
        <w:rPr>
          <w:rStyle w:val="Gl"/>
          <w:sz w:val="22"/>
          <w:szCs w:val="22"/>
        </w:rPr>
        <w:t>7. Name</w:t>
      </w:r>
      <w:r w:rsidR="00AE7D74" w:rsidRPr="000D712D">
        <w:rPr>
          <w:rStyle w:val="Gl"/>
          <w:sz w:val="22"/>
          <w:szCs w:val="22"/>
        </w:rPr>
        <w:t>,</w:t>
      </w:r>
      <w:r w:rsidRPr="000D712D">
        <w:rPr>
          <w:rStyle w:val="Gl"/>
          <w:sz w:val="22"/>
          <w:szCs w:val="22"/>
        </w:rPr>
        <w:t xml:space="preserve"> address </w:t>
      </w:r>
      <w:r w:rsidR="00AE7D74" w:rsidRPr="000D712D">
        <w:rPr>
          <w:rStyle w:val="Gl"/>
          <w:sz w:val="22"/>
          <w:szCs w:val="22"/>
        </w:rPr>
        <w:t xml:space="preserve">and nationality </w:t>
      </w:r>
      <w:r w:rsidRPr="000D712D">
        <w:rPr>
          <w:rStyle w:val="Gl"/>
          <w:sz w:val="22"/>
          <w:szCs w:val="22"/>
        </w:rPr>
        <w:t>of successful tenderer</w:t>
      </w:r>
    </w:p>
    <w:p w:rsidR="00AE7D74" w:rsidRDefault="00752028" w:rsidP="00AE7D74">
      <w:pPr>
        <w:pStyle w:val="Blockquote"/>
        <w:rPr>
          <w:sz w:val="22"/>
          <w:szCs w:val="22"/>
        </w:rPr>
      </w:pPr>
      <w:r w:rsidRPr="00752028">
        <w:rPr>
          <w:sz w:val="22"/>
          <w:szCs w:val="22"/>
        </w:rPr>
        <w:t>FALEZ MIMARLIK INSAAT TUR. SAN VE TIC. LTD. STI</w:t>
      </w:r>
      <w:r>
        <w:rPr>
          <w:sz w:val="22"/>
          <w:szCs w:val="22"/>
        </w:rPr>
        <w:t>.</w:t>
      </w:r>
    </w:p>
    <w:p w:rsidR="00752028" w:rsidRDefault="00752028" w:rsidP="00AE7D74">
      <w:pPr>
        <w:pStyle w:val="Blockquote"/>
        <w:rPr>
          <w:sz w:val="22"/>
          <w:szCs w:val="22"/>
        </w:rPr>
      </w:pPr>
      <w:r>
        <w:rPr>
          <w:sz w:val="22"/>
          <w:szCs w:val="22"/>
        </w:rPr>
        <w:lastRenderedPageBreak/>
        <w:t>O</w:t>
      </w:r>
      <w:r w:rsidRPr="00752028">
        <w:rPr>
          <w:sz w:val="22"/>
          <w:szCs w:val="22"/>
        </w:rPr>
        <w:t xml:space="preserve">fficial </w:t>
      </w:r>
      <w:r>
        <w:rPr>
          <w:sz w:val="22"/>
          <w:szCs w:val="22"/>
        </w:rPr>
        <w:t>A</w:t>
      </w:r>
      <w:r w:rsidRPr="00752028">
        <w:rPr>
          <w:sz w:val="22"/>
          <w:szCs w:val="22"/>
        </w:rPr>
        <w:t>ddress : Akat Mah. Kismet Sok. No:7 Besiktas/Istanbul</w:t>
      </w:r>
    </w:p>
    <w:p w:rsidR="00842870" w:rsidRDefault="00842870" w:rsidP="00AE7D74">
      <w:pPr>
        <w:pStyle w:val="Blockquote"/>
        <w:rPr>
          <w:sz w:val="22"/>
          <w:szCs w:val="22"/>
        </w:rPr>
      </w:pPr>
      <w:r w:rsidRPr="00842870">
        <w:rPr>
          <w:sz w:val="22"/>
          <w:szCs w:val="22"/>
        </w:rPr>
        <w:t xml:space="preserve">       Republic of Turkey</w:t>
      </w:r>
      <w:r w:rsidRPr="00842870">
        <w:rPr>
          <w:sz w:val="22"/>
          <w:szCs w:val="22"/>
        </w:rPr>
        <w:t xml:space="preserve"> </w:t>
      </w:r>
    </w:p>
    <w:p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rsidR="00AE7D74" w:rsidRPr="000D712D" w:rsidRDefault="00752028" w:rsidP="00AE7D74">
      <w:pPr>
        <w:pStyle w:val="Blockquote"/>
        <w:rPr>
          <w:sz w:val="22"/>
          <w:szCs w:val="22"/>
        </w:rPr>
      </w:pPr>
      <w:r>
        <w:rPr>
          <w:sz w:val="22"/>
          <w:szCs w:val="22"/>
        </w:rPr>
        <w:t>3 Months (90 days)</w:t>
      </w:r>
    </w:p>
    <w:p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752028" w:rsidRPr="00752028" w:rsidRDefault="00752028" w:rsidP="00752028">
      <w:pPr>
        <w:snapToGrid w:val="0"/>
        <w:rPr>
          <w:bCs/>
          <w:sz w:val="22"/>
          <w:szCs w:val="24"/>
        </w:rPr>
      </w:pPr>
      <w:r>
        <w:rPr>
          <w:bCs/>
          <w:sz w:val="22"/>
          <w:szCs w:val="24"/>
        </w:rPr>
        <w:t xml:space="preserve">      </w:t>
      </w:r>
      <w:r w:rsidRPr="00752028">
        <w:rPr>
          <w:bCs/>
          <w:sz w:val="22"/>
          <w:szCs w:val="24"/>
        </w:rPr>
        <w:t xml:space="preserve">MUNICIPALITY OF </w:t>
      </w:r>
      <w:r w:rsidRPr="00752028">
        <w:rPr>
          <w:bCs/>
          <w:sz w:val="22"/>
          <w:szCs w:val="24"/>
          <w:lang w:val="fr-FR"/>
        </w:rPr>
        <w:t>BUYUKKARISTIRAN</w:t>
      </w:r>
      <w:r w:rsidRPr="00752028">
        <w:rPr>
          <w:bCs/>
          <w:sz w:val="22"/>
          <w:szCs w:val="24"/>
        </w:rPr>
        <w:t xml:space="preserve">, </w:t>
      </w:r>
    </w:p>
    <w:p w:rsidR="00752028" w:rsidRDefault="00752028" w:rsidP="00752028">
      <w:pPr>
        <w:snapToGrid w:val="0"/>
        <w:rPr>
          <w:sz w:val="22"/>
          <w:szCs w:val="24"/>
        </w:rPr>
      </w:pPr>
      <w:r>
        <w:rPr>
          <w:sz w:val="22"/>
          <w:szCs w:val="24"/>
        </w:rPr>
        <w:t xml:space="preserve">      </w:t>
      </w:r>
      <w:r w:rsidRPr="001412CE">
        <w:rPr>
          <w:sz w:val="22"/>
          <w:szCs w:val="24"/>
        </w:rPr>
        <w:t xml:space="preserve">Yeni Mah. İnönü Cad. No: 9,  Büyükkarıştıran </w:t>
      </w:r>
      <w:r>
        <w:rPr>
          <w:sz w:val="22"/>
          <w:szCs w:val="24"/>
        </w:rPr>
        <w:t>–</w:t>
      </w:r>
    </w:p>
    <w:p w:rsidR="00752028" w:rsidRDefault="00752028" w:rsidP="00752028">
      <w:pPr>
        <w:snapToGrid w:val="0"/>
        <w:rPr>
          <w:sz w:val="22"/>
          <w:szCs w:val="24"/>
        </w:rPr>
      </w:pPr>
      <w:r>
        <w:rPr>
          <w:sz w:val="22"/>
          <w:szCs w:val="24"/>
        </w:rPr>
        <w:t xml:space="preserve">      </w:t>
      </w:r>
      <w:r w:rsidRPr="001412CE">
        <w:rPr>
          <w:sz w:val="22"/>
          <w:szCs w:val="24"/>
        </w:rPr>
        <w:t xml:space="preserve">Lüleburgaz / KIRKLARELİ, </w:t>
      </w:r>
    </w:p>
    <w:p w:rsidR="00752028" w:rsidRDefault="00752028" w:rsidP="00752028">
      <w:pPr>
        <w:snapToGrid w:val="0"/>
        <w:rPr>
          <w:sz w:val="22"/>
          <w:szCs w:val="24"/>
        </w:rPr>
      </w:pPr>
      <w:r>
        <w:rPr>
          <w:sz w:val="22"/>
          <w:szCs w:val="24"/>
        </w:rPr>
        <w:t xml:space="preserve">      </w:t>
      </w:r>
      <w:r w:rsidRPr="001412CE">
        <w:rPr>
          <w:sz w:val="22"/>
          <w:szCs w:val="24"/>
        </w:rPr>
        <w:t>Republic of Turkey</w:t>
      </w:r>
      <w:r w:rsidRPr="00BB2A1F">
        <w:rPr>
          <w:sz w:val="22"/>
          <w:szCs w:val="24"/>
        </w:rPr>
        <w:t>,</w:t>
      </w:r>
      <w:r>
        <w:rPr>
          <w:sz w:val="22"/>
          <w:szCs w:val="24"/>
        </w:rPr>
        <w:t xml:space="preserve"> </w:t>
      </w:r>
    </w:p>
    <w:p w:rsidR="00752028" w:rsidRPr="005E497D" w:rsidRDefault="00752028" w:rsidP="00752028">
      <w:pPr>
        <w:snapToGrid w:val="0"/>
        <w:rPr>
          <w:sz w:val="20"/>
          <w:szCs w:val="22"/>
          <w:lang w:val="tr-TR"/>
        </w:rPr>
      </w:pPr>
      <w:r>
        <w:rPr>
          <w:sz w:val="22"/>
          <w:szCs w:val="24"/>
        </w:rPr>
        <w:t xml:space="preserve">      </w:t>
      </w:r>
      <w:r>
        <w:rPr>
          <w:sz w:val="22"/>
          <w:szCs w:val="24"/>
        </w:rPr>
        <w:t>R</w:t>
      </w:r>
      <w:r w:rsidRPr="00BB2A1F">
        <w:rPr>
          <w:sz w:val="22"/>
          <w:szCs w:val="24"/>
        </w:rPr>
        <w:t xml:space="preserve">epresented by: </w:t>
      </w:r>
      <w:r>
        <w:rPr>
          <w:sz w:val="22"/>
          <w:szCs w:val="24"/>
          <w:lang w:val="tr-TR"/>
        </w:rPr>
        <w:t>Ertuğrul ÇAMLICA</w:t>
      </w:r>
    </w:p>
    <w:p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bookmarkStart w:id="0" w:name="_GoBack"/>
      <w:bookmarkEnd w:id="0"/>
    </w:p>
    <w:p w:rsidR="00842870" w:rsidRDefault="00E31D1E" w:rsidP="00842870">
      <w:pPr>
        <w:pStyle w:val="PRAGHeading2"/>
        <w:numPr>
          <w:ilvl w:val="0"/>
          <w:numId w:val="0"/>
        </w:numPr>
        <w:ind w:left="284"/>
        <w:jc w:val="both"/>
        <w:rPr>
          <w:sz w:val="22"/>
          <w:szCs w:val="22"/>
        </w:rPr>
      </w:pPr>
      <w:r w:rsidRPr="00842870">
        <w:rPr>
          <w:sz w:val="22"/>
          <w:szCs w:val="22"/>
          <w:lang w:val="en-GB"/>
        </w:rPr>
        <w:t>Regulation</w:t>
      </w:r>
      <w:r w:rsidRPr="00842870">
        <w:rPr>
          <w:b/>
          <w:bCs/>
          <w:sz w:val="22"/>
          <w:szCs w:val="22"/>
          <w:lang w:val="en-GB"/>
        </w:rPr>
        <w:t xml:space="preserve"> </w:t>
      </w:r>
      <w:r w:rsidRPr="00842870">
        <w:rPr>
          <w:sz w:val="22"/>
          <w:szCs w:val="22"/>
          <w:lang w:val="en-GB"/>
        </w:rPr>
        <w:t xml:space="preserve">(EU) </w:t>
      </w:r>
      <w:r w:rsidR="00BE49B3" w:rsidRPr="00842870">
        <w:rPr>
          <w:sz w:val="22"/>
          <w:szCs w:val="22"/>
          <w:lang w:val="en-GB"/>
        </w:rPr>
        <w:t>No </w:t>
      </w:r>
      <w:r w:rsidRPr="00842870">
        <w:rPr>
          <w:sz w:val="22"/>
          <w:szCs w:val="22"/>
          <w:lang w:val="en-GB" w:eastAsia="ja-JP"/>
        </w:rPr>
        <w:t>236/2014 of the European Parliament and of the Council of 11 March 2014 laying down common rules and procedures for the implementation of the Union's instruments for financing external action and</w:t>
      </w:r>
      <w:r w:rsidR="00842870">
        <w:rPr>
          <w:sz w:val="22"/>
          <w:szCs w:val="22"/>
          <w:lang w:val="en-GB" w:eastAsia="ja-JP"/>
        </w:rPr>
        <w:t xml:space="preserve"> the Interreg IPA Cross – Border Cooperation Bulgaria – Turkey Programme , CCI Number : 2014TC16I5CB005</w:t>
      </w:r>
    </w:p>
    <w:p w:rsidR="00352080" w:rsidRDefault="00352080" w:rsidP="00822AF7">
      <w:pPr>
        <w:pStyle w:val="Blockquote"/>
        <w:rPr>
          <w:sz w:val="22"/>
          <w:szCs w:val="22"/>
        </w:rPr>
      </w:pPr>
    </w:p>
    <w:sectPr w:rsidR="00352080" w:rsidSect="00D02B28">
      <w:headerReference w:type="default" r:id="rId7"/>
      <w:footerReference w:type="default" r:id="rId8"/>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830" w:rsidRDefault="00DA7830">
      <w:r>
        <w:separator/>
      </w:r>
    </w:p>
  </w:endnote>
  <w:endnote w:type="continuationSeparator" w:id="0">
    <w:p w:rsidR="00DA7830" w:rsidRDefault="00D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830" w:rsidRDefault="00DA7830">
      <w:r>
        <w:separator/>
      </w:r>
    </w:p>
  </w:footnote>
  <w:footnote w:type="continuationSeparator" w:id="0">
    <w:p w:rsidR="00DA7830" w:rsidRDefault="00D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467"/>
      <w:gridCol w:w="4467"/>
    </w:tblGrid>
    <w:tr w:rsidR="00842870" w:rsidRPr="001709CB" w:rsidTr="00DA041D">
      <w:trPr>
        <w:jc w:val="center"/>
      </w:trPr>
      <w:tc>
        <w:tcPr>
          <w:tcW w:w="4467" w:type="dxa"/>
        </w:tcPr>
        <w:p w:rsidR="00842870" w:rsidRPr="001709CB" w:rsidRDefault="00842870" w:rsidP="00842870">
          <w:pPr>
            <w:tabs>
              <w:tab w:val="center" w:pos="4536"/>
              <w:tab w:val="right" w:pos="9072"/>
            </w:tabs>
            <w:jc w:val="center"/>
            <w:rPr>
              <w:rFonts w:ascii="Arial" w:hAnsi="Arial"/>
              <w:sz w:val="20"/>
            </w:rPr>
          </w:pPr>
          <w:r w:rsidRPr="00842870">
            <w:rPr>
              <w:noProof/>
              <w:snapToGrid/>
              <w:sz w:val="20"/>
            </w:rPr>
            <w:drawing>
              <wp:inline distT="0" distB="0" distL="0" distR="0">
                <wp:extent cx="2628900" cy="8128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12800"/>
                        </a:xfrm>
                        <a:prstGeom prst="rect">
                          <a:avLst/>
                        </a:prstGeom>
                        <a:noFill/>
                        <a:ln>
                          <a:noFill/>
                        </a:ln>
                      </pic:spPr>
                    </pic:pic>
                  </a:graphicData>
                </a:graphic>
              </wp:inline>
            </w:drawing>
          </w:r>
        </w:p>
      </w:tc>
      <w:tc>
        <w:tcPr>
          <w:tcW w:w="4467" w:type="dxa"/>
        </w:tcPr>
        <w:p w:rsidR="00842870" w:rsidRPr="001709CB" w:rsidRDefault="00842870" w:rsidP="00842870">
          <w:pPr>
            <w:tabs>
              <w:tab w:val="center" w:pos="4536"/>
              <w:tab w:val="right" w:pos="9072"/>
            </w:tabs>
            <w:jc w:val="right"/>
            <w:rPr>
              <w:rFonts w:ascii="Arial" w:hAnsi="Arial"/>
              <w:sz w:val="20"/>
            </w:rPr>
          </w:pPr>
          <w:r w:rsidRPr="00842870">
            <w:rPr>
              <w:rFonts w:ascii="Arial" w:hAnsi="Arial"/>
              <w:noProof/>
              <w:snapToGrid/>
              <w:sz w:val="20"/>
            </w:rPr>
            <w:drawing>
              <wp:inline distT="0" distB="0" distL="0" distR="0">
                <wp:extent cx="1289050" cy="876300"/>
                <wp:effectExtent l="0" t="0" r="0" b="0"/>
                <wp:docPr id="3" name="Картина 34" descr="EU flag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4" descr="EU flag - full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050" cy="876300"/>
                        </a:xfrm>
                        <a:prstGeom prst="rect">
                          <a:avLst/>
                        </a:prstGeom>
                        <a:noFill/>
                        <a:ln>
                          <a:noFill/>
                        </a:ln>
                      </pic:spPr>
                    </pic:pic>
                  </a:graphicData>
                </a:graphic>
              </wp:inline>
            </w:drawing>
          </w:r>
        </w:p>
      </w:tc>
    </w:tr>
    <w:tr w:rsidR="00842870" w:rsidRPr="001709CB" w:rsidTr="00DA041D">
      <w:trPr>
        <w:trHeight w:val="80"/>
        <w:jc w:val="center"/>
      </w:trPr>
      <w:tc>
        <w:tcPr>
          <w:tcW w:w="8934" w:type="dxa"/>
          <w:gridSpan w:val="2"/>
        </w:tcPr>
        <w:p w:rsidR="00842870" w:rsidRPr="001709CB" w:rsidRDefault="00842870" w:rsidP="00842870">
          <w:pPr>
            <w:jc w:val="center"/>
            <w:rPr>
              <w:b/>
              <w:i/>
              <w:szCs w:val="22"/>
            </w:rPr>
          </w:pPr>
          <w:r w:rsidRPr="001709CB">
            <w:rPr>
              <w:b/>
              <w:i/>
              <w:sz w:val="20"/>
              <w:szCs w:val="22"/>
            </w:rPr>
            <w:t>Project CB005.2.21.083, “Increasing the tourist attractiveness of the municipalities of Topolovgrad and Buyukkaristiran through better presentation of the cultural heritage”</w:t>
          </w:r>
        </w:p>
      </w:tc>
    </w:tr>
  </w:tbl>
  <w:p w:rsidR="00842870" w:rsidRDefault="00842870" w:rsidP="00842870">
    <w:pPr>
      <w:pStyle w:val="stBilgi"/>
      <w:jc w:val="right"/>
      <w:rPr>
        <w:sz w:val="22"/>
        <w:szCs w:val="22"/>
      </w:rPr>
    </w:pPr>
  </w:p>
  <w:p w:rsidR="00842870" w:rsidRPr="00F062A3" w:rsidRDefault="00842870" w:rsidP="00842870">
    <w:pPr>
      <w:pStyle w:val="stBilgi"/>
      <w:jc w:val="right"/>
      <w:rPr>
        <w:sz w:val="22"/>
        <w:szCs w:val="22"/>
      </w:rPr>
    </w:pPr>
    <w:r w:rsidRPr="00F062A3">
      <w:rPr>
        <w:sz w:val="22"/>
        <w:szCs w:val="22"/>
      </w:rPr>
      <w:t xml:space="preserve">NO </w:t>
    </w:r>
    <w:r w:rsidRPr="00316898">
      <w:rPr>
        <w:sz w:val="22"/>
        <w:szCs w:val="22"/>
      </w:rPr>
      <w:t xml:space="preserve">CB005.2.21.083 – </w:t>
    </w:r>
    <w:r>
      <w:rPr>
        <w:sz w:val="22"/>
        <w:szCs w:val="22"/>
      </w:rPr>
      <w:t>PP2</w:t>
    </w:r>
    <w:r w:rsidRPr="00316898">
      <w:rPr>
        <w:sz w:val="22"/>
        <w:szCs w:val="22"/>
      </w:rPr>
      <w:t xml:space="preserve"> – Works 1</w:t>
    </w:r>
  </w:p>
  <w:p w:rsidR="00DD28D9" w:rsidRPr="00842870" w:rsidRDefault="00DD28D9" w:rsidP="00842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4567D"/>
    <w:rsid w:val="0008681F"/>
    <w:rsid w:val="000D4AD4"/>
    <w:rsid w:val="000D712D"/>
    <w:rsid w:val="0019719C"/>
    <w:rsid w:val="001B097A"/>
    <w:rsid w:val="001B2813"/>
    <w:rsid w:val="001C132D"/>
    <w:rsid w:val="00207784"/>
    <w:rsid w:val="00233766"/>
    <w:rsid w:val="00254C87"/>
    <w:rsid w:val="002D48D6"/>
    <w:rsid w:val="002E6A8E"/>
    <w:rsid w:val="00352080"/>
    <w:rsid w:val="00374F88"/>
    <w:rsid w:val="003811EE"/>
    <w:rsid w:val="003F6495"/>
    <w:rsid w:val="0045170B"/>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52028"/>
    <w:rsid w:val="007748DD"/>
    <w:rsid w:val="0078569F"/>
    <w:rsid w:val="007A05A8"/>
    <w:rsid w:val="007B183D"/>
    <w:rsid w:val="007C4B6E"/>
    <w:rsid w:val="007F7527"/>
    <w:rsid w:val="00810A6E"/>
    <w:rsid w:val="00817926"/>
    <w:rsid w:val="00822AF7"/>
    <w:rsid w:val="00842870"/>
    <w:rsid w:val="00851F7D"/>
    <w:rsid w:val="00857F48"/>
    <w:rsid w:val="00877CE4"/>
    <w:rsid w:val="00883912"/>
    <w:rsid w:val="0088476E"/>
    <w:rsid w:val="00897325"/>
    <w:rsid w:val="0092281D"/>
    <w:rsid w:val="009347B4"/>
    <w:rsid w:val="00950D11"/>
    <w:rsid w:val="009D28EC"/>
    <w:rsid w:val="009E0B83"/>
    <w:rsid w:val="009E23A5"/>
    <w:rsid w:val="009F6432"/>
    <w:rsid w:val="009F6594"/>
    <w:rsid w:val="00A64DBF"/>
    <w:rsid w:val="00A9302A"/>
    <w:rsid w:val="00AA23B0"/>
    <w:rsid w:val="00AB59AB"/>
    <w:rsid w:val="00AC1C2D"/>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12DF"/>
    <w:rsid w:val="00DA4CBA"/>
    <w:rsid w:val="00DA7830"/>
    <w:rsid w:val="00DB14B3"/>
    <w:rsid w:val="00DB5155"/>
    <w:rsid w:val="00DD28D9"/>
    <w:rsid w:val="00DD7607"/>
    <w:rsid w:val="00E00F3E"/>
    <w:rsid w:val="00E07E80"/>
    <w:rsid w:val="00E31D1E"/>
    <w:rsid w:val="00E55682"/>
    <w:rsid w:val="00E62710"/>
    <w:rsid w:val="00E62D35"/>
    <w:rsid w:val="00E82BCF"/>
    <w:rsid w:val="00ED46F2"/>
    <w:rsid w:val="00EE1DDE"/>
    <w:rsid w:val="00EF0948"/>
    <w:rsid w:val="00F075CC"/>
    <w:rsid w:val="00F12C34"/>
    <w:rsid w:val="00F2683E"/>
    <w:rsid w:val="00F321C1"/>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4F6D2"/>
  <w15:chartTrackingRefBased/>
  <w15:docId w15:val="{2BE75F5C-54BC-44C0-8598-A990E7E1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AklamaBavurusu">
    <w:name w:val="annotation reference"/>
    <w:rsid w:val="00E00F3E"/>
    <w:rPr>
      <w:sz w:val="16"/>
      <w:szCs w:val="16"/>
    </w:rPr>
  </w:style>
  <w:style w:type="paragraph" w:styleId="AklamaMetni">
    <w:name w:val="annotation text"/>
    <w:basedOn w:val="Normal"/>
    <w:link w:val="AklamaMetniChar"/>
    <w:rsid w:val="00E00F3E"/>
    <w:rPr>
      <w:sz w:val="20"/>
    </w:rPr>
  </w:style>
  <w:style w:type="character" w:customStyle="1" w:styleId="AklamaMetniChar">
    <w:name w:val="Açıklama Metni Char"/>
    <w:link w:val="AklamaMetni"/>
    <w:rsid w:val="00E00F3E"/>
    <w:rPr>
      <w:snapToGrid w:val="0"/>
      <w:lang w:val="en-US" w:eastAsia="en-US"/>
    </w:rPr>
  </w:style>
  <w:style w:type="paragraph" w:styleId="AklamaKonusu">
    <w:name w:val="annotation subject"/>
    <w:basedOn w:val="AklamaMetni"/>
    <w:next w:val="AklamaMetni"/>
    <w:link w:val="AklamaKonusuChar"/>
    <w:rsid w:val="00E00F3E"/>
    <w:rPr>
      <w:b/>
      <w:bCs/>
    </w:rPr>
  </w:style>
  <w:style w:type="character" w:customStyle="1" w:styleId="AklamaKonusuChar">
    <w:name w:val="Açıklama Konusu Char"/>
    <w:link w:val="AklamaKonusu"/>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1164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C9 Award</vt:lpstr>
      <vt:lpstr>C9 Award</vt:lpstr>
    </vt:vector>
  </TitlesOfParts>
  <Company>European Commission</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dc:description/>
  <cp:lastModifiedBy>Hp</cp:lastModifiedBy>
  <cp:revision>2</cp:revision>
  <dcterms:created xsi:type="dcterms:W3CDTF">2021-01-04T09:04:00Z</dcterms:created>
  <dcterms:modified xsi:type="dcterms:W3CDTF">2021-01-04T09:04:00Z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