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40FAD" w14:textId="77777777" w:rsidR="00360FEB" w:rsidRPr="00187942" w:rsidRDefault="00360FEB" w:rsidP="00E11669">
      <w:pPr>
        <w:spacing w:after="0" w:line="240" w:lineRule="auto"/>
        <w:jc w:val="center"/>
        <w:rPr>
          <w:rStyle w:val="Gl"/>
          <w:rFonts w:ascii="Times New Roman" w:hAnsi="Times New Roman" w:cs="Times New Roman"/>
          <w:color w:val="002060"/>
          <w:sz w:val="32"/>
          <w:lang w:val="tr-TR" w:eastAsia="bg-BG"/>
        </w:rPr>
      </w:pPr>
    </w:p>
    <w:p w14:paraId="2D185BC6" w14:textId="64C58DB3" w:rsidR="00E11669" w:rsidRPr="00A83340" w:rsidRDefault="00187942" w:rsidP="00E11669">
      <w:pPr>
        <w:spacing w:after="0" w:line="240" w:lineRule="auto"/>
        <w:jc w:val="center"/>
        <w:rPr>
          <w:rStyle w:val="Gl"/>
          <w:rFonts w:ascii="Times New Roman" w:hAnsi="Times New Roman" w:cs="Times New Roman"/>
          <w:color w:val="002060"/>
          <w:sz w:val="32"/>
          <w:lang w:val="en-GB" w:eastAsia="bg-BG"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lang w:val="en-GB"/>
        </w:rPr>
        <w:t xml:space="preserve">2023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lang w:val="en-GB"/>
        </w:rPr>
        <w:t>yılı</w:t>
      </w:r>
      <w:proofErr w:type="spellEnd"/>
      <w:r>
        <w:rPr>
          <w:rFonts w:ascii="Times New Roman" w:hAnsi="Times New Roman" w:cs="Times New Roman"/>
          <w:b/>
          <w:bCs/>
          <w:color w:val="002060"/>
          <w:sz w:val="36"/>
          <w:szCs w:val="3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lang w:val="en-GB"/>
        </w:rPr>
        <w:t>için</w:t>
      </w:r>
      <w:proofErr w:type="spellEnd"/>
      <w:r>
        <w:rPr>
          <w:rFonts w:ascii="Times New Roman" w:hAnsi="Times New Roman" w:cs="Times New Roman"/>
          <w:b/>
          <w:bCs/>
          <w:color w:val="002060"/>
          <w:sz w:val="36"/>
          <w:szCs w:val="3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lang w:val="en-GB"/>
        </w:rPr>
        <w:t>planlanan</w:t>
      </w:r>
      <w:proofErr w:type="spellEnd"/>
      <w:r>
        <w:rPr>
          <w:rFonts w:ascii="Times New Roman" w:hAnsi="Times New Roman" w:cs="Times New Roman"/>
          <w:b/>
          <w:bCs/>
          <w:color w:val="002060"/>
          <w:sz w:val="36"/>
          <w:szCs w:val="3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lang w:val="en-GB"/>
        </w:rPr>
        <w:t>teklif</w:t>
      </w:r>
      <w:proofErr w:type="spellEnd"/>
      <w:r>
        <w:rPr>
          <w:rFonts w:ascii="Times New Roman" w:hAnsi="Times New Roman" w:cs="Times New Roman"/>
          <w:b/>
          <w:bCs/>
          <w:color w:val="002060"/>
          <w:sz w:val="36"/>
          <w:szCs w:val="3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lang w:val="en-GB"/>
        </w:rPr>
        <w:t>çağrıları</w:t>
      </w:r>
      <w:proofErr w:type="spellEnd"/>
      <w:r>
        <w:rPr>
          <w:rFonts w:ascii="Times New Roman" w:hAnsi="Times New Roman" w:cs="Times New Roman"/>
          <w:b/>
          <w:bCs/>
          <w:color w:val="002060"/>
          <w:sz w:val="36"/>
          <w:szCs w:val="3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lang w:val="en-GB"/>
        </w:rPr>
        <w:t>için</w:t>
      </w:r>
      <w:proofErr w:type="spellEnd"/>
      <w:r>
        <w:rPr>
          <w:rFonts w:ascii="Times New Roman" w:hAnsi="Times New Roman" w:cs="Times New Roman"/>
          <w:b/>
          <w:bCs/>
          <w:color w:val="002060"/>
          <w:sz w:val="36"/>
          <w:szCs w:val="36"/>
          <w:lang w:val="en-GB"/>
        </w:rPr>
        <w:t xml:space="preserve"> zaman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lang w:val="en-GB"/>
        </w:rPr>
        <w:t>çizelgesi</w:t>
      </w:r>
      <w:proofErr w:type="spellEnd"/>
    </w:p>
    <w:p w14:paraId="51BEE894" w14:textId="77777777" w:rsidR="00360FEB" w:rsidRPr="00A83340" w:rsidRDefault="00360FEB" w:rsidP="00B07A72">
      <w:pPr>
        <w:spacing w:after="0" w:line="240" w:lineRule="auto"/>
        <w:ind w:left="-426" w:firstLine="426"/>
        <w:jc w:val="center"/>
        <w:rPr>
          <w:rStyle w:val="Gl"/>
          <w:rFonts w:ascii="Times New Roman" w:hAnsi="Times New Roman" w:cs="Times New Roman"/>
          <w:color w:val="002060"/>
          <w:sz w:val="32"/>
          <w:lang w:val="en-GB"/>
        </w:rPr>
      </w:pPr>
    </w:p>
    <w:p w14:paraId="1A859047" w14:textId="0A9301F3" w:rsidR="00E11669" w:rsidRPr="00A83340" w:rsidRDefault="002438CA" w:rsidP="00B07A72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color w:val="002060"/>
          <w:sz w:val="32"/>
          <w:lang w:val="en-GB"/>
        </w:rPr>
      </w:pPr>
      <w:r w:rsidRPr="00A83340">
        <w:rPr>
          <w:rStyle w:val="Gl"/>
          <w:rFonts w:ascii="Times New Roman" w:hAnsi="Times New Roman" w:cs="Times New Roman"/>
          <w:color w:val="002060"/>
          <w:sz w:val="32"/>
          <w:lang w:val="en-GB"/>
        </w:rPr>
        <w:t>(</w:t>
      </w:r>
      <w:proofErr w:type="spellStart"/>
      <w:r w:rsidRPr="00A83340">
        <w:rPr>
          <w:rStyle w:val="Gl"/>
          <w:rFonts w:ascii="Times New Roman" w:hAnsi="Times New Roman" w:cs="Times New Roman"/>
          <w:color w:val="002060"/>
          <w:sz w:val="32"/>
          <w:lang w:val="en-GB"/>
        </w:rPr>
        <w:t>Interreg</w:t>
      </w:r>
      <w:proofErr w:type="spellEnd"/>
      <w:r w:rsidRPr="00A83340">
        <w:rPr>
          <w:rStyle w:val="Gl"/>
          <w:rFonts w:ascii="Times New Roman" w:hAnsi="Times New Roman" w:cs="Times New Roman"/>
          <w:color w:val="002060"/>
          <w:sz w:val="32"/>
          <w:lang w:val="en-GB"/>
        </w:rPr>
        <w:t xml:space="preserve"> </w:t>
      </w:r>
      <w:r w:rsidR="003B71D4" w:rsidRPr="00A83340">
        <w:rPr>
          <w:rFonts w:ascii="Times New Roman" w:hAnsi="Times New Roman" w:cs="Times New Roman"/>
          <w:b/>
          <w:bCs/>
          <w:color w:val="002060"/>
          <w:sz w:val="32"/>
          <w:lang w:val="en-GB"/>
        </w:rPr>
        <w:t>VI-A</w:t>
      </w:r>
      <w:r w:rsidRPr="00A83340">
        <w:rPr>
          <w:rFonts w:ascii="Times New Roman" w:hAnsi="Times New Roman" w:cs="Times New Roman"/>
          <w:b/>
          <w:bCs/>
          <w:color w:val="002060"/>
          <w:sz w:val="32"/>
          <w:lang w:val="en-GB"/>
        </w:rPr>
        <w:t>)</w:t>
      </w:r>
      <w:r w:rsidR="003B71D4" w:rsidRPr="00A83340">
        <w:rPr>
          <w:rFonts w:ascii="Times New Roman" w:hAnsi="Times New Roman" w:cs="Times New Roman"/>
          <w:b/>
          <w:bCs/>
          <w:color w:val="002060"/>
          <w:sz w:val="32"/>
          <w:lang w:val="en-GB"/>
        </w:rPr>
        <w:t xml:space="preserve"> </w:t>
      </w:r>
      <w:r w:rsidR="00E11669" w:rsidRPr="00A83340">
        <w:rPr>
          <w:rStyle w:val="Gl"/>
          <w:rFonts w:ascii="Times New Roman" w:hAnsi="Times New Roman" w:cs="Times New Roman"/>
          <w:color w:val="002060"/>
          <w:sz w:val="32"/>
          <w:lang w:val="en-GB"/>
        </w:rPr>
        <w:t>IPA</w:t>
      </w:r>
      <w:r w:rsidRPr="00A83340">
        <w:rPr>
          <w:rStyle w:val="Gl"/>
          <w:rFonts w:ascii="Times New Roman" w:hAnsi="Times New Roman" w:cs="Times New Roman"/>
          <w:color w:val="002060"/>
          <w:sz w:val="32"/>
          <w:lang w:val="en-GB"/>
        </w:rPr>
        <w:t xml:space="preserve"> </w:t>
      </w:r>
      <w:r w:rsidR="002C4BA5" w:rsidRPr="00A83340">
        <w:rPr>
          <w:rFonts w:ascii="Times New Roman" w:hAnsi="Times New Roman" w:cs="Times New Roman"/>
          <w:b/>
          <w:bCs/>
          <w:color w:val="002060"/>
          <w:sz w:val="32"/>
          <w:lang w:val="en-GB"/>
        </w:rPr>
        <w:t>Bulgaria-</w:t>
      </w:r>
      <w:proofErr w:type="spellStart"/>
      <w:r w:rsidR="002C4BA5" w:rsidRPr="00A83340">
        <w:rPr>
          <w:rFonts w:ascii="Times New Roman" w:hAnsi="Times New Roman" w:cs="Times New Roman"/>
          <w:b/>
          <w:bCs/>
          <w:color w:val="002060"/>
          <w:sz w:val="32"/>
          <w:lang w:val="en-GB"/>
        </w:rPr>
        <w:t>Türkiye</w:t>
      </w:r>
      <w:proofErr w:type="spellEnd"/>
      <w:r w:rsidR="00360FEB" w:rsidRPr="00A83340">
        <w:rPr>
          <w:rFonts w:ascii="Times New Roman" w:hAnsi="Times New Roman" w:cs="Times New Roman"/>
          <w:b/>
          <w:bCs/>
          <w:color w:val="002060"/>
          <w:sz w:val="32"/>
          <w:lang w:val="en-GB"/>
        </w:rPr>
        <w:t xml:space="preserve"> </w:t>
      </w:r>
      <w:r w:rsidR="00003740" w:rsidRPr="00A83340">
        <w:rPr>
          <w:rFonts w:ascii="Times New Roman" w:hAnsi="Times New Roman" w:cs="Times New Roman"/>
          <w:b/>
          <w:bCs/>
          <w:color w:val="002060"/>
          <w:sz w:val="32"/>
          <w:lang w:val="en-GB"/>
        </w:rPr>
        <w:t xml:space="preserve">2021-2027 </w:t>
      </w:r>
      <w:r w:rsidR="00360FEB" w:rsidRPr="00A83340">
        <w:rPr>
          <w:rFonts w:ascii="Times New Roman" w:hAnsi="Times New Roman" w:cs="Times New Roman"/>
          <w:b/>
          <w:bCs/>
          <w:color w:val="002060"/>
          <w:sz w:val="32"/>
          <w:lang w:val="en-GB"/>
        </w:rPr>
        <w:t>Program</w:t>
      </w:r>
      <w:r w:rsidR="00187942">
        <w:rPr>
          <w:rFonts w:ascii="Times New Roman" w:hAnsi="Times New Roman" w:cs="Times New Roman"/>
          <w:b/>
          <w:bCs/>
          <w:color w:val="002060"/>
          <w:sz w:val="32"/>
          <w:lang w:val="en-GB"/>
        </w:rPr>
        <w:t>ı</w:t>
      </w:r>
    </w:p>
    <w:p w14:paraId="0097FB4E" w14:textId="77777777" w:rsidR="00360FEB" w:rsidRPr="00A83340" w:rsidRDefault="00360FEB" w:rsidP="00B07A72">
      <w:pPr>
        <w:spacing w:after="0" w:line="240" w:lineRule="auto"/>
        <w:ind w:left="-426" w:firstLine="426"/>
        <w:jc w:val="center"/>
        <w:rPr>
          <w:rStyle w:val="Gl"/>
          <w:rFonts w:ascii="Times New Roman" w:hAnsi="Times New Roman" w:cs="Times New Roman"/>
          <w:color w:val="002060"/>
          <w:sz w:val="32"/>
          <w:lang w:val="en-GB" w:eastAsia="bg-BG"/>
        </w:rPr>
      </w:pPr>
    </w:p>
    <w:p w14:paraId="25327AD7" w14:textId="42B8D97A" w:rsidR="003F2CB8" w:rsidRPr="00A83340" w:rsidRDefault="003F2CB8" w:rsidP="003F2CB8">
      <w:pPr>
        <w:spacing w:after="0" w:line="240" w:lineRule="auto"/>
        <w:ind w:left="-426" w:right="-365" w:hanging="141"/>
        <w:jc w:val="center"/>
        <w:rPr>
          <w:rFonts w:ascii="Times New Roman" w:eastAsia="Calibri" w:hAnsi="Times New Roman" w:cs="Times New Roman"/>
          <w:bCs/>
          <w:i/>
          <w:color w:val="002060"/>
          <w:sz w:val="24"/>
          <w:szCs w:val="24"/>
          <w:lang w:val="en-GB" w:eastAsia="bg-BG"/>
        </w:rPr>
      </w:pPr>
      <w:r w:rsidRPr="00A83340">
        <w:rPr>
          <w:rFonts w:ascii="Times New Roman" w:eastAsia="Calibri" w:hAnsi="Times New Roman" w:cs="Times New Roman"/>
          <w:bCs/>
          <w:i/>
          <w:color w:val="002060"/>
          <w:sz w:val="24"/>
          <w:szCs w:val="24"/>
          <w:lang w:val="en-GB" w:eastAsia="bg-BG"/>
        </w:rPr>
        <w:t>(</w:t>
      </w:r>
      <w:r w:rsidR="00187942">
        <w:rPr>
          <w:rFonts w:ascii="Times New Roman" w:eastAsia="Calibri" w:hAnsi="Times New Roman" w:cs="Times New Roman"/>
          <w:bCs/>
          <w:i/>
          <w:color w:val="002060"/>
          <w:sz w:val="24"/>
          <w:szCs w:val="24"/>
          <w:lang w:val="en-GB" w:eastAsia="bg-BG"/>
        </w:rPr>
        <w:t xml:space="preserve">Son </w:t>
      </w:r>
      <w:proofErr w:type="spellStart"/>
      <w:r w:rsidR="00187942">
        <w:rPr>
          <w:rFonts w:ascii="Times New Roman" w:eastAsia="Calibri" w:hAnsi="Times New Roman" w:cs="Times New Roman"/>
          <w:bCs/>
          <w:i/>
          <w:color w:val="002060"/>
          <w:sz w:val="24"/>
          <w:szCs w:val="24"/>
          <w:lang w:val="en-GB" w:eastAsia="bg-BG"/>
        </w:rPr>
        <w:t>güncelleme</w:t>
      </w:r>
      <w:proofErr w:type="spellEnd"/>
      <w:r w:rsidRPr="00A83340">
        <w:rPr>
          <w:rFonts w:ascii="Times New Roman" w:eastAsia="Calibri" w:hAnsi="Times New Roman" w:cs="Times New Roman"/>
          <w:bCs/>
          <w:i/>
          <w:color w:val="002060"/>
          <w:sz w:val="24"/>
          <w:szCs w:val="24"/>
          <w:lang w:val="en-GB" w:eastAsia="bg-BG"/>
        </w:rPr>
        <w:t xml:space="preserve">: </w:t>
      </w:r>
      <w:r w:rsidR="00187942">
        <w:rPr>
          <w:rFonts w:ascii="Times New Roman" w:eastAsia="Calibri" w:hAnsi="Times New Roman" w:cs="Times New Roman"/>
          <w:bCs/>
          <w:i/>
          <w:color w:val="002060"/>
          <w:sz w:val="24"/>
          <w:szCs w:val="24"/>
          <w:lang w:val="en-GB" w:eastAsia="bg-BG"/>
        </w:rPr>
        <w:t xml:space="preserve">30 </w:t>
      </w:r>
      <w:proofErr w:type="spellStart"/>
      <w:r w:rsidR="00187942">
        <w:rPr>
          <w:rFonts w:ascii="Times New Roman" w:eastAsia="Calibri" w:hAnsi="Times New Roman" w:cs="Times New Roman"/>
          <w:bCs/>
          <w:i/>
          <w:color w:val="002060"/>
          <w:sz w:val="24"/>
          <w:szCs w:val="24"/>
          <w:lang w:val="en-GB" w:eastAsia="bg-BG"/>
        </w:rPr>
        <w:t>Haziran</w:t>
      </w:r>
      <w:proofErr w:type="spellEnd"/>
      <w:r w:rsidRPr="00A83340">
        <w:rPr>
          <w:rFonts w:ascii="Times New Roman" w:eastAsia="Calibri" w:hAnsi="Times New Roman" w:cs="Times New Roman"/>
          <w:bCs/>
          <w:i/>
          <w:color w:val="002060"/>
          <w:sz w:val="24"/>
          <w:szCs w:val="24"/>
          <w:lang w:val="en-GB" w:eastAsia="bg-BG"/>
        </w:rPr>
        <w:t xml:space="preserve"> 2023)</w:t>
      </w:r>
    </w:p>
    <w:p w14:paraId="10FCA300" w14:textId="77777777" w:rsidR="0068593B" w:rsidRPr="00A83340" w:rsidRDefault="0068593B">
      <w:pPr>
        <w:rPr>
          <w:lang w:val="en-GB"/>
        </w:rPr>
      </w:pPr>
    </w:p>
    <w:tbl>
      <w:tblPr>
        <w:tblStyle w:val="TabloKlavuzu"/>
        <w:tblpPr w:leftFromText="180" w:rightFromText="180" w:vertAnchor="text" w:tblpX="-619" w:tblpY="1"/>
        <w:tblOverlap w:val="never"/>
        <w:tblW w:w="14754" w:type="dxa"/>
        <w:tblLayout w:type="fixed"/>
        <w:tblLook w:val="04A0" w:firstRow="1" w:lastRow="0" w:firstColumn="1" w:lastColumn="0" w:noHBand="0" w:noVBand="1"/>
      </w:tblPr>
      <w:tblGrid>
        <w:gridCol w:w="546"/>
        <w:gridCol w:w="1272"/>
        <w:gridCol w:w="1316"/>
        <w:gridCol w:w="827"/>
        <w:gridCol w:w="755"/>
        <w:gridCol w:w="862"/>
        <w:gridCol w:w="1336"/>
        <w:gridCol w:w="1440"/>
        <w:gridCol w:w="1049"/>
        <w:gridCol w:w="751"/>
        <w:gridCol w:w="861"/>
        <w:gridCol w:w="915"/>
        <w:gridCol w:w="559"/>
        <w:gridCol w:w="746"/>
        <w:gridCol w:w="879"/>
        <w:gridCol w:w="640"/>
      </w:tblGrid>
      <w:tr w:rsidR="00A209C4" w:rsidRPr="00A83340" w14:paraId="1FAF3CAE" w14:textId="77777777" w:rsidTr="00360FEB">
        <w:trPr>
          <w:trHeight w:val="900"/>
          <w:tblHeader/>
        </w:trPr>
        <w:tc>
          <w:tcPr>
            <w:tcW w:w="546" w:type="dxa"/>
            <w:vMerge w:val="restart"/>
            <w:vAlign w:val="center"/>
          </w:tcPr>
          <w:p w14:paraId="4705FB1C" w14:textId="77777777" w:rsidR="00E11669" w:rsidRPr="00A83340" w:rsidRDefault="00E11669" w:rsidP="00360FEB">
            <w:pPr>
              <w:widowControl w:val="0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№</w:t>
            </w:r>
          </w:p>
        </w:tc>
        <w:tc>
          <w:tcPr>
            <w:tcW w:w="1272" w:type="dxa"/>
            <w:vMerge w:val="restart"/>
            <w:vAlign w:val="center"/>
          </w:tcPr>
          <w:p w14:paraId="4B7F3F48" w14:textId="76F994C2" w:rsidR="00581FB4" w:rsidRPr="00A83340" w:rsidRDefault="00187942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Usül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adı</w:t>
            </w:r>
            <w:proofErr w:type="spellEnd"/>
          </w:p>
        </w:tc>
        <w:tc>
          <w:tcPr>
            <w:tcW w:w="1316" w:type="dxa"/>
            <w:vMerge w:val="restart"/>
            <w:vAlign w:val="center"/>
          </w:tcPr>
          <w:p w14:paraId="6BAB8C63" w14:textId="1E00E62E" w:rsidR="00581FB4" w:rsidRPr="00A83340" w:rsidRDefault="00187942" w:rsidP="00187942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Hibe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usulünün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hedefleri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</w:p>
        </w:tc>
        <w:tc>
          <w:tcPr>
            <w:tcW w:w="827" w:type="dxa"/>
            <w:vMerge w:val="restart"/>
            <w:vAlign w:val="center"/>
          </w:tcPr>
          <w:p w14:paraId="010246B1" w14:textId="77777777" w:rsidR="00187942" w:rsidRDefault="00187942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Usulün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uygulama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prosedürü</w:t>
            </w:r>
            <w:proofErr w:type="spellEnd"/>
          </w:p>
          <w:p w14:paraId="2F35AD00" w14:textId="4F5E9D96" w:rsidR="00E11669" w:rsidRPr="00A83340" w:rsidRDefault="00E11669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4F79C09C" w14:textId="77B22C60" w:rsidR="00187942" w:rsidRDefault="00187942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fikirlerinin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ön-elemesi</w:t>
            </w:r>
            <w:proofErr w:type="spellEnd"/>
          </w:p>
          <w:p w14:paraId="393A965E" w14:textId="0CDEFE30" w:rsidR="00581FB4" w:rsidRPr="00A83340" w:rsidRDefault="00581FB4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</w:p>
        </w:tc>
        <w:tc>
          <w:tcPr>
            <w:tcW w:w="862" w:type="dxa"/>
            <w:vMerge w:val="restart"/>
            <w:vAlign w:val="center"/>
          </w:tcPr>
          <w:p w14:paraId="17A764ED" w14:textId="7B2E9C3D" w:rsidR="00581FB4" w:rsidRPr="00A83340" w:rsidRDefault="00187942" w:rsidP="00187942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Usül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altında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dağıtılacak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toplam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hibe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r w:rsidR="00E11669"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(</w:t>
            </w:r>
            <w:r w:rsidR="00942C59"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EUR</w:t>
            </w:r>
            <w:r w:rsidR="00E11669"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)</w:t>
            </w:r>
          </w:p>
        </w:tc>
        <w:tc>
          <w:tcPr>
            <w:tcW w:w="1336" w:type="dxa"/>
            <w:vMerge w:val="restart"/>
            <w:vAlign w:val="center"/>
          </w:tcPr>
          <w:p w14:paraId="0BD7843C" w14:textId="15ED050F" w:rsidR="00581FB4" w:rsidRPr="00A83340" w:rsidRDefault="00187942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Başvuru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sabiplerinin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uygunluğu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14:paraId="65F8A4BF" w14:textId="680213C2" w:rsidR="00581FB4" w:rsidRPr="00A83340" w:rsidRDefault="00187942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faaliyet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örnekleri</w:t>
            </w:r>
            <w:proofErr w:type="spellEnd"/>
          </w:p>
        </w:tc>
        <w:tc>
          <w:tcPr>
            <w:tcW w:w="1049" w:type="dxa"/>
            <w:vMerge w:val="restart"/>
            <w:vAlign w:val="center"/>
          </w:tcPr>
          <w:p w14:paraId="0ED52103" w14:textId="22696FDD" w:rsidR="00581FB4" w:rsidRPr="00A83340" w:rsidRDefault="00187942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harcama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kategorileri</w:t>
            </w:r>
            <w:proofErr w:type="spellEnd"/>
          </w:p>
        </w:tc>
        <w:tc>
          <w:tcPr>
            <w:tcW w:w="751" w:type="dxa"/>
            <w:vMerge w:val="restart"/>
            <w:vAlign w:val="center"/>
          </w:tcPr>
          <w:p w14:paraId="7EC2F48B" w14:textId="0290F4BD" w:rsidR="00E11669" w:rsidRPr="00A83340" w:rsidRDefault="00187942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Maksimum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eşfinansam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%’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si</w:t>
            </w:r>
            <w:proofErr w:type="spellEnd"/>
          </w:p>
        </w:tc>
        <w:tc>
          <w:tcPr>
            <w:tcW w:w="861" w:type="dxa"/>
            <w:vMerge w:val="restart"/>
            <w:vAlign w:val="center"/>
          </w:tcPr>
          <w:p w14:paraId="403B03F3" w14:textId="77777777" w:rsidR="00187942" w:rsidRDefault="00187942" w:rsidP="00360FEB">
            <w:pPr>
              <w:tabs>
                <w:tab w:val="left" w:pos="601"/>
              </w:tabs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Ulusün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duyuru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</w:p>
          <w:p w14:paraId="182C8344" w14:textId="4E1D7400" w:rsidR="00581FB4" w:rsidRPr="00A83340" w:rsidRDefault="00581FB4" w:rsidP="00360FEB">
            <w:pPr>
              <w:tabs>
                <w:tab w:val="left" w:pos="601"/>
              </w:tabs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7EB48A76" w14:textId="659AE726" w:rsidR="00581FB4" w:rsidRPr="00A83340" w:rsidRDefault="00187942" w:rsidP="007B180F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teklifle</w:t>
            </w:r>
            <w:r w:rsidR="007B18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rinin</w:t>
            </w:r>
            <w:proofErr w:type="spellEnd"/>
            <w:r w:rsidR="007B18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="007B18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iletilmesi</w:t>
            </w:r>
            <w:proofErr w:type="spellEnd"/>
            <w:r w:rsidR="007B18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="007B18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için</w:t>
            </w:r>
            <w:proofErr w:type="spellEnd"/>
            <w:r w:rsidR="007B18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son </w:t>
            </w:r>
            <w:proofErr w:type="spellStart"/>
            <w:r w:rsidR="007B18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tarih</w:t>
            </w:r>
            <w:proofErr w:type="spellEnd"/>
          </w:p>
        </w:tc>
        <w:tc>
          <w:tcPr>
            <w:tcW w:w="1305" w:type="dxa"/>
            <w:gridSpan w:val="2"/>
            <w:vAlign w:val="center"/>
          </w:tcPr>
          <w:p w14:paraId="6F30CAFF" w14:textId="50293498" w:rsidR="00E11669" w:rsidRPr="00A83340" w:rsidRDefault="00187942" w:rsidP="00187942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Usül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usulün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kısmı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…</w:t>
            </w:r>
          </w:p>
        </w:tc>
        <w:tc>
          <w:tcPr>
            <w:tcW w:w="1519" w:type="dxa"/>
            <w:gridSpan w:val="2"/>
            <w:vAlign w:val="center"/>
          </w:tcPr>
          <w:p w14:paraId="3DE89BD6" w14:textId="6F9549FD" w:rsidR="00E11669" w:rsidRPr="00A83340" w:rsidRDefault="00187942" w:rsidP="00187942">
            <w:pPr>
              <w:ind w:left="-85" w:right="-85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Hibe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tutarları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r w:rsidR="00942C59"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(EUR</w:t>
            </w:r>
            <w:r w:rsidR="00E11669"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)</w:t>
            </w:r>
          </w:p>
        </w:tc>
      </w:tr>
      <w:tr w:rsidR="00E076CF" w:rsidRPr="00A83340" w14:paraId="5D7BD6AE" w14:textId="77777777" w:rsidTr="00360FEB">
        <w:trPr>
          <w:trHeight w:val="699"/>
          <w:tblHeader/>
        </w:trPr>
        <w:tc>
          <w:tcPr>
            <w:tcW w:w="546" w:type="dxa"/>
            <w:vMerge/>
            <w:vAlign w:val="center"/>
          </w:tcPr>
          <w:p w14:paraId="20B7B42F" w14:textId="77777777" w:rsidR="00E076CF" w:rsidRPr="00A83340" w:rsidRDefault="00E076CF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</w:p>
        </w:tc>
        <w:tc>
          <w:tcPr>
            <w:tcW w:w="1272" w:type="dxa"/>
            <w:vMerge/>
            <w:vAlign w:val="center"/>
          </w:tcPr>
          <w:p w14:paraId="428821CD" w14:textId="77777777" w:rsidR="00E076CF" w:rsidRPr="00A83340" w:rsidRDefault="00E076CF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</w:p>
        </w:tc>
        <w:tc>
          <w:tcPr>
            <w:tcW w:w="1316" w:type="dxa"/>
            <w:vMerge/>
            <w:vAlign w:val="center"/>
          </w:tcPr>
          <w:p w14:paraId="7B858E2F" w14:textId="77777777" w:rsidR="00E076CF" w:rsidRPr="00A83340" w:rsidRDefault="00E076CF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</w:p>
        </w:tc>
        <w:tc>
          <w:tcPr>
            <w:tcW w:w="827" w:type="dxa"/>
            <w:vMerge/>
            <w:vAlign w:val="center"/>
          </w:tcPr>
          <w:p w14:paraId="4DACA3AC" w14:textId="77777777" w:rsidR="00E076CF" w:rsidRPr="00A83340" w:rsidRDefault="00E076CF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</w:p>
        </w:tc>
        <w:tc>
          <w:tcPr>
            <w:tcW w:w="755" w:type="dxa"/>
            <w:vMerge/>
            <w:vAlign w:val="center"/>
          </w:tcPr>
          <w:p w14:paraId="730FEE66" w14:textId="77777777" w:rsidR="00E076CF" w:rsidRPr="00A83340" w:rsidRDefault="00E076CF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</w:p>
        </w:tc>
        <w:tc>
          <w:tcPr>
            <w:tcW w:w="862" w:type="dxa"/>
            <w:vMerge/>
            <w:vAlign w:val="center"/>
          </w:tcPr>
          <w:p w14:paraId="4539B4FE" w14:textId="77777777" w:rsidR="00E076CF" w:rsidRPr="00A83340" w:rsidRDefault="00E076CF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</w:p>
        </w:tc>
        <w:tc>
          <w:tcPr>
            <w:tcW w:w="1336" w:type="dxa"/>
            <w:vMerge/>
            <w:vAlign w:val="center"/>
          </w:tcPr>
          <w:p w14:paraId="51E14A84" w14:textId="77777777" w:rsidR="00E076CF" w:rsidRPr="00A83340" w:rsidRDefault="00E076CF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</w:p>
        </w:tc>
        <w:tc>
          <w:tcPr>
            <w:tcW w:w="1440" w:type="dxa"/>
            <w:vMerge/>
            <w:vAlign w:val="center"/>
          </w:tcPr>
          <w:p w14:paraId="4AF4866A" w14:textId="77777777" w:rsidR="00E076CF" w:rsidRPr="00A83340" w:rsidRDefault="00E076CF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</w:p>
        </w:tc>
        <w:tc>
          <w:tcPr>
            <w:tcW w:w="1049" w:type="dxa"/>
            <w:vMerge/>
            <w:vAlign w:val="center"/>
          </w:tcPr>
          <w:p w14:paraId="21D56FE5" w14:textId="77777777" w:rsidR="00E076CF" w:rsidRPr="00A83340" w:rsidRDefault="00E076CF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</w:p>
        </w:tc>
        <w:tc>
          <w:tcPr>
            <w:tcW w:w="751" w:type="dxa"/>
            <w:vMerge/>
            <w:vAlign w:val="center"/>
          </w:tcPr>
          <w:p w14:paraId="14326070" w14:textId="77777777" w:rsidR="00E076CF" w:rsidRPr="00A83340" w:rsidRDefault="00E076CF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</w:p>
        </w:tc>
        <w:tc>
          <w:tcPr>
            <w:tcW w:w="861" w:type="dxa"/>
            <w:vMerge/>
            <w:vAlign w:val="center"/>
          </w:tcPr>
          <w:p w14:paraId="6BAA5DA9" w14:textId="77777777" w:rsidR="00E076CF" w:rsidRPr="00A83340" w:rsidRDefault="00E076CF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</w:p>
        </w:tc>
        <w:tc>
          <w:tcPr>
            <w:tcW w:w="915" w:type="dxa"/>
            <w:vMerge/>
            <w:vAlign w:val="center"/>
          </w:tcPr>
          <w:p w14:paraId="01D80659" w14:textId="77777777" w:rsidR="00E076CF" w:rsidRPr="00A83340" w:rsidRDefault="00E076CF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</w:p>
        </w:tc>
        <w:tc>
          <w:tcPr>
            <w:tcW w:w="559" w:type="dxa"/>
            <w:vAlign w:val="center"/>
          </w:tcPr>
          <w:p w14:paraId="577831D0" w14:textId="7CDFB5DF" w:rsidR="00E076CF" w:rsidRPr="00A83340" w:rsidRDefault="00187942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Devlet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Yardımı</w:t>
            </w:r>
            <w:proofErr w:type="spellEnd"/>
          </w:p>
        </w:tc>
        <w:tc>
          <w:tcPr>
            <w:tcW w:w="746" w:type="dxa"/>
            <w:vAlign w:val="center"/>
          </w:tcPr>
          <w:p w14:paraId="391BDC38" w14:textId="03075412" w:rsidR="00E076CF" w:rsidRPr="00A83340" w:rsidRDefault="00E5122E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 xml:space="preserve">De </w:t>
            </w:r>
            <w:proofErr w:type="spellStart"/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minimis</w:t>
            </w:r>
            <w:proofErr w:type="spellEnd"/>
          </w:p>
        </w:tc>
        <w:tc>
          <w:tcPr>
            <w:tcW w:w="879" w:type="dxa"/>
            <w:vAlign w:val="center"/>
          </w:tcPr>
          <w:p w14:paraId="7CDC3126" w14:textId="678BE075" w:rsidR="00E076CF" w:rsidRPr="00A83340" w:rsidRDefault="00E076CF" w:rsidP="00187942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Mini</w:t>
            </w:r>
            <w:r w:rsidR="001879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mum</w:t>
            </w:r>
          </w:p>
        </w:tc>
        <w:tc>
          <w:tcPr>
            <w:tcW w:w="640" w:type="dxa"/>
            <w:vAlign w:val="center"/>
          </w:tcPr>
          <w:p w14:paraId="265672B8" w14:textId="76446C1C" w:rsidR="00E076CF" w:rsidRPr="00A83340" w:rsidRDefault="00E076CF" w:rsidP="00187942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Maxi</w:t>
            </w:r>
            <w:r w:rsidR="001879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mum</w:t>
            </w:r>
          </w:p>
        </w:tc>
      </w:tr>
      <w:tr w:rsidR="00A209C4" w:rsidRPr="00A83340" w14:paraId="29DD8BB8" w14:textId="77777777" w:rsidTr="00360FEB">
        <w:trPr>
          <w:trHeight w:val="206"/>
          <w:tblHeader/>
        </w:trPr>
        <w:tc>
          <w:tcPr>
            <w:tcW w:w="546" w:type="dxa"/>
          </w:tcPr>
          <w:p w14:paraId="72E7C93E" w14:textId="77777777" w:rsidR="00E11669" w:rsidRPr="00A83340" w:rsidRDefault="00E11669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1</w:t>
            </w:r>
          </w:p>
        </w:tc>
        <w:tc>
          <w:tcPr>
            <w:tcW w:w="1272" w:type="dxa"/>
          </w:tcPr>
          <w:p w14:paraId="41204F47" w14:textId="77777777" w:rsidR="00E11669" w:rsidRPr="00A83340" w:rsidRDefault="00E11669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2</w:t>
            </w:r>
          </w:p>
        </w:tc>
        <w:tc>
          <w:tcPr>
            <w:tcW w:w="1316" w:type="dxa"/>
          </w:tcPr>
          <w:p w14:paraId="0F8E2519" w14:textId="77777777" w:rsidR="00E11669" w:rsidRPr="00A83340" w:rsidRDefault="00E11669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3</w:t>
            </w:r>
          </w:p>
        </w:tc>
        <w:tc>
          <w:tcPr>
            <w:tcW w:w="827" w:type="dxa"/>
          </w:tcPr>
          <w:p w14:paraId="5B31DC70" w14:textId="77777777" w:rsidR="00E11669" w:rsidRPr="00A83340" w:rsidRDefault="00E11669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4</w:t>
            </w:r>
          </w:p>
        </w:tc>
        <w:tc>
          <w:tcPr>
            <w:tcW w:w="755" w:type="dxa"/>
          </w:tcPr>
          <w:p w14:paraId="22E2A2E9" w14:textId="77777777" w:rsidR="00E11669" w:rsidRPr="00A83340" w:rsidRDefault="00E11669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5</w:t>
            </w:r>
          </w:p>
        </w:tc>
        <w:tc>
          <w:tcPr>
            <w:tcW w:w="862" w:type="dxa"/>
          </w:tcPr>
          <w:p w14:paraId="6B907F89" w14:textId="77777777" w:rsidR="00E11669" w:rsidRPr="00A83340" w:rsidRDefault="00E11669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6</w:t>
            </w:r>
          </w:p>
        </w:tc>
        <w:tc>
          <w:tcPr>
            <w:tcW w:w="1336" w:type="dxa"/>
          </w:tcPr>
          <w:p w14:paraId="2179A222" w14:textId="77777777" w:rsidR="00E11669" w:rsidRPr="00A83340" w:rsidRDefault="00E11669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7</w:t>
            </w:r>
          </w:p>
        </w:tc>
        <w:tc>
          <w:tcPr>
            <w:tcW w:w="1440" w:type="dxa"/>
          </w:tcPr>
          <w:p w14:paraId="524DB377" w14:textId="77777777" w:rsidR="00E11669" w:rsidRPr="00A83340" w:rsidRDefault="00E11669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8</w:t>
            </w:r>
          </w:p>
        </w:tc>
        <w:tc>
          <w:tcPr>
            <w:tcW w:w="1049" w:type="dxa"/>
          </w:tcPr>
          <w:p w14:paraId="09EAB027" w14:textId="77777777" w:rsidR="00E11669" w:rsidRPr="00A83340" w:rsidRDefault="00E11669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9</w:t>
            </w:r>
          </w:p>
        </w:tc>
        <w:tc>
          <w:tcPr>
            <w:tcW w:w="751" w:type="dxa"/>
          </w:tcPr>
          <w:p w14:paraId="0B748C6E" w14:textId="77777777" w:rsidR="00E11669" w:rsidRPr="00A83340" w:rsidRDefault="00E11669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10</w:t>
            </w:r>
          </w:p>
        </w:tc>
        <w:tc>
          <w:tcPr>
            <w:tcW w:w="861" w:type="dxa"/>
          </w:tcPr>
          <w:p w14:paraId="113C1DA6" w14:textId="77777777" w:rsidR="00E11669" w:rsidRPr="00A83340" w:rsidRDefault="00E11669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11</w:t>
            </w:r>
          </w:p>
        </w:tc>
        <w:tc>
          <w:tcPr>
            <w:tcW w:w="915" w:type="dxa"/>
          </w:tcPr>
          <w:p w14:paraId="4A4A19EF" w14:textId="77777777" w:rsidR="00E11669" w:rsidRPr="00A83340" w:rsidRDefault="00E11669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12</w:t>
            </w:r>
          </w:p>
        </w:tc>
        <w:tc>
          <w:tcPr>
            <w:tcW w:w="559" w:type="dxa"/>
          </w:tcPr>
          <w:p w14:paraId="17D1BB3F" w14:textId="77777777" w:rsidR="00E11669" w:rsidRPr="00A83340" w:rsidRDefault="00E11669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13</w:t>
            </w:r>
          </w:p>
        </w:tc>
        <w:tc>
          <w:tcPr>
            <w:tcW w:w="746" w:type="dxa"/>
          </w:tcPr>
          <w:p w14:paraId="6409160F" w14:textId="77777777" w:rsidR="00E11669" w:rsidRPr="00A83340" w:rsidRDefault="00E11669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14</w:t>
            </w:r>
          </w:p>
        </w:tc>
        <w:tc>
          <w:tcPr>
            <w:tcW w:w="879" w:type="dxa"/>
          </w:tcPr>
          <w:p w14:paraId="4BA023CD" w14:textId="77777777" w:rsidR="00E11669" w:rsidRPr="00A83340" w:rsidRDefault="00E11669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15</w:t>
            </w:r>
          </w:p>
        </w:tc>
        <w:tc>
          <w:tcPr>
            <w:tcW w:w="640" w:type="dxa"/>
          </w:tcPr>
          <w:p w14:paraId="598A4DF5" w14:textId="77777777" w:rsidR="00E11669" w:rsidRPr="00A83340" w:rsidRDefault="00E11669" w:rsidP="00360FEB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bg-BG"/>
              </w:rPr>
              <w:t>16</w:t>
            </w:r>
          </w:p>
        </w:tc>
      </w:tr>
      <w:tr w:rsidR="00E11669" w:rsidRPr="00A83340" w14:paraId="189296BD" w14:textId="77777777" w:rsidTr="00360FEB">
        <w:trPr>
          <w:trHeight w:val="645"/>
        </w:trPr>
        <w:tc>
          <w:tcPr>
            <w:tcW w:w="14754" w:type="dxa"/>
            <w:gridSpan w:val="16"/>
            <w:shd w:val="clear" w:color="auto" w:fill="B4C6E7"/>
            <w:vAlign w:val="center"/>
          </w:tcPr>
          <w:p w14:paraId="3345D1E9" w14:textId="63FBC9E8" w:rsidR="00E11669" w:rsidRPr="00A83340" w:rsidRDefault="00E65C45" w:rsidP="007B180F">
            <w:pPr>
              <w:spacing w:before="60" w:after="60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>Priority</w:t>
            </w:r>
            <w:r w:rsidR="00581FB4" w:rsidRPr="00A83340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 xml:space="preserve"> 1</w:t>
            </w:r>
            <w:r w:rsidR="00BF6203" w:rsidRPr="00A83340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 xml:space="preserve"> </w:t>
            </w:r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>–</w:t>
            </w:r>
            <w:r w:rsidR="00BF6203" w:rsidRPr="00A83340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 xml:space="preserve"> </w:t>
            </w:r>
            <w:proofErr w:type="spellStart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>Çevre</w:t>
            </w:r>
            <w:proofErr w:type="spellEnd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 xml:space="preserve"> </w:t>
            </w:r>
            <w:proofErr w:type="spellStart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>dostu</w:t>
            </w:r>
            <w:proofErr w:type="spellEnd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 xml:space="preserve"> </w:t>
            </w:r>
            <w:proofErr w:type="spellStart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>sınır</w:t>
            </w:r>
            <w:proofErr w:type="spellEnd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 xml:space="preserve"> </w:t>
            </w:r>
            <w:proofErr w:type="spellStart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>ötesi</w:t>
            </w:r>
            <w:proofErr w:type="spellEnd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 xml:space="preserve"> </w:t>
            </w:r>
            <w:proofErr w:type="spellStart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>işbirliği</w:t>
            </w:r>
            <w:proofErr w:type="spellEnd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 xml:space="preserve"> </w:t>
            </w:r>
            <w:proofErr w:type="spellStart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>bölgesi</w:t>
            </w:r>
            <w:proofErr w:type="spellEnd"/>
          </w:p>
        </w:tc>
      </w:tr>
      <w:tr w:rsidR="006A6EB2" w:rsidRPr="00A83340" w14:paraId="284A9060" w14:textId="77777777" w:rsidTr="00360FEB">
        <w:trPr>
          <w:trHeight w:val="315"/>
        </w:trPr>
        <w:tc>
          <w:tcPr>
            <w:tcW w:w="546" w:type="dxa"/>
          </w:tcPr>
          <w:p w14:paraId="4AAD81E3" w14:textId="534FD036" w:rsidR="006A6EB2" w:rsidRPr="00A83340" w:rsidRDefault="003B71D4" w:rsidP="003B71D4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272" w:type="dxa"/>
          </w:tcPr>
          <w:p w14:paraId="7E9DBD3D" w14:textId="196ECD7B" w:rsidR="006A6EB2" w:rsidRPr="00A83340" w:rsidRDefault="00187942" w:rsidP="003B71D4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Çevre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dostu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sınır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ötesi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işbirliği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bölgesi</w:t>
            </w:r>
            <w:proofErr w:type="spellEnd"/>
          </w:p>
          <w:p w14:paraId="1AFA7077" w14:textId="77777777" w:rsidR="00FE67CE" w:rsidRPr="00A83340" w:rsidRDefault="00FE67CE" w:rsidP="003B71D4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7D5CC843" w14:textId="1BDED5A7" w:rsidR="00FE67CE" w:rsidRPr="00A83340" w:rsidRDefault="00FE67CE" w:rsidP="003B71D4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316" w:type="dxa"/>
          </w:tcPr>
          <w:p w14:paraId="352C3474" w14:textId="52FDBC09" w:rsidR="00FE67CE" w:rsidRPr="00A83340" w:rsidRDefault="00187942" w:rsidP="00360FEB">
            <w:pPr>
              <w:ind w:left="-85" w:right="-85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hedefler</w:t>
            </w:r>
            <w:proofErr w:type="spellEnd"/>
            <w:r w:rsidR="006A6EB2" w:rsidRPr="00A8334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:</w:t>
            </w:r>
          </w:p>
          <w:p w14:paraId="784BE4DA" w14:textId="6119C876" w:rsidR="003B71D4" w:rsidRPr="00A83340" w:rsidRDefault="006A6EB2" w:rsidP="00360FEB">
            <w:pPr>
              <w:ind w:left="-85" w:right="-85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 xml:space="preserve"> </w:t>
            </w:r>
          </w:p>
          <w:p w14:paraId="78A41ADC" w14:textId="77777777" w:rsidR="00187942" w:rsidRDefault="006A6EB2" w:rsidP="00360FEB">
            <w:pPr>
              <w:ind w:left="-85" w:right="-85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 xml:space="preserve">RSO 2.1 </w:t>
            </w:r>
            <w:proofErr w:type="spellStart"/>
            <w:r w:rsidR="0018794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enerji</w:t>
            </w:r>
            <w:proofErr w:type="spellEnd"/>
            <w:r w:rsidR="0018794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 xml:space="preserve"> </w:t>
            </w:r>
            <w:proofErr w:type="spellStart"/>
            <w:r w:rsidR="0018794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verimliliği</w:t>
            </w:r>
            <w:proofErr w:type="spellEnd"/>
            <w:r w:rsidR="0018794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 xml:space="preserve"> </w:t>
            </w:r>
            <w:proofErr w:type="spellStart"/>
            <w:r w:rsidR="0018794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ve</w:t>
            </w:r>
            <w:proofErr w:type="spellEnd"/>
            <w:r w:rsidR="0018794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 xml:space="preserve"> sera </w:t>
            </w:r>
            <w:proofErr w:type="spellStart"/>
            <w:r w:rsidR="0018794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gazı</w:t>
            </w:r>
            <w:proofErr w:type="spellEnd"/>
            <w:r w:rsidR="0018794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 xml:space="preserve"> </w:t>
            </w:r>
            <w:proofErr w:type="spellStart"/>
            <w:r w:rsidR="0018794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emisyonlarının</w:t>
            </w:r>
            <w:proofErr w:type="spellEnd"/>
            <w:r w:rsidR="0018794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 xml:space="preserve"> </w:t>
            </w:r>
            <w:proofErr w:type="spellStart"/>
            <w:r w:rsidR="0018794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azaltılmasının</w:t>
            </w:r>
            <w:proofErr w:type="spellEnd"/>
            <w:r w:rsidR="0018794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 xml:space="preserve"> </w:t>
            </w:r>
            <w:proofErr w:type="spellStart"/>
            <w:r w:rsidR="0018794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desteklenmesi</w:t>
            </w:r>
            <w:proofErr w:type="spellEnd"/>
          </w:p>
          <w:p w14:paraId="1E0462E6" w14:textId="77777777" w:rsidR="003B71D4" w:rsidRPr="00A83340" w:rsidRDefault="003B71D4" w:rsidP="00360FEB">
            <w:pPr>
              <w:ind w:left="-85" w:right="-85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</w:pPr>
          </w:p>
          <w:p w14:paraId="2FF390EE" w14:textId="77777777" w:rsidR="003A0947" w:rsidRPr="00A83340" w:rsidRDefault="003A0947" w:rsidP="003A0947">
            <w:pPr>
              <w:ind w:left="-85" w:right="-85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 xml:space="preserve">RSO 2.6. </w:t>
            </w:r>
          </w:p>
          <w:p w14:paraId="39B46F74" w14:textId="77777777" w:rsidR="00187942" w:rsidRDefault="00187942" w:rsidP="003A0947">
            <w:pPr>
              <w:spacing w:before="100"/>
              <w:ind w:left="-87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Döngüsel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kaynak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verimli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ekonomiye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geçişin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desteklenmesi</w:t>
            </w:r>
            <w:proofErr w:type="spellEnd"/>
          </w:p>
          <w:p w14:paraId="6B7BBAA2" w14:textId="6A4730BD" w:rsidR="003B71D4" w:rsidRPr="00A83340" w:rsidRDefault="003B71D4" w:rsidP="00187942">
            <w:pPr>
              <w:spacing w:before="100"/>
              <w:ind w:left="-87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</w:pPr>
          </w:p>
        </w:tc>
        <w:tc>
          <w:tcPr>
            <w:tcW w:w="827" w:type="dxa"/>
          </w:tcPr>
          <w:p w14:paraId="7F30E725" w14:textId="356A38B8" w:rsidR="00912264" w:rsidRPr="00A83340" w:rsidRDefault="00187942" w:rsidP="00360FEB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Açık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teklif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çağrısı</w:t>
            </w:r>
            <w:proofErr w:type="spellEnd"/>
          </w:p>
        </w:tc>
        <w:tc>
          <w:tcPr>
            <w:tcW w:w="755" w:type="dxa"/>
          </w:tcPr>
          <w:p w14:paraId="12206FFA" w14:textId="14297223" w:rsidR="006A6EB2" w:rsidRPr="00A83340" w:rsidRDefault="00187942" w:rsidP="00360FEB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Hayır</w:t>
            </w:r>
            <w:proofErr w:type="spellEnd"/>
          </w:p>
        </w:tc>
        <w:tc>
          <w:tcPr>
            <w:tcW w:w="862" w:type="dxa"/>
          </w:tcPr>
          <w:p w14:paraId="5A582E48" w14:textId="789F43A5" w:rsidR="003B71D4" w:rsidRPr="00A83340" w:rsidRDefault="003B71D4" w:rsidP="003B71D4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RSO 2.1</w:t>
            </w:r>
            <w:r w:rsidR="007D49B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D49B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r w:rsid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çin</w:t>
            </w:r>
            <w:proofErr w:type="spellEnd"/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  <w:p w14:paraId="1B50D645" w14:textId="77777777" w:rsidR="006A6EB2" w:rsidRPr="00A83340" w:rsidRDefault="006A6EB2" w:rsidP="003B71D4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4 631</w:t>
            </w:r>
            <w:r w:rsidR="003B71D4"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360 </w:t>
            </w:r>
          </w:p>
          <w:p w14:paraId="28331104" w14:textId="77777777" w:rsidR="003B71D4" w:rsidRPr="00A83340" w:rsidRDefault="003B71D4" w:rsidP="003B71D4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5AB455DD" w14:textId="021EB923" w:rsidR="003A0947" w:rsidRPr="00A83340" w:rsidRDefault="003A0947" w:rsidP="003A0947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RSO 2.6</w:t>
            </w:r>
            <w:r w:rsidR="007D49B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D49B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r w:rsid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çin</w:t>
            </w:r>
            <w:proofErr w:type="spellEnd"/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  <w:p w14:paraId="545F5A95" w14:textId="534EF599" w:rsidR="003B71D4" w:rsidRPr="00A83340" w:rsidRDefault="003A0947" w:rsidP="003A0947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1 984 868</w:t>
            </w:r>
          </w:p>
        </w:tc>
        <w:tc>
          <w:tcPr>
            <w:tcW w:w="1336" w:type="dxa"/>
          </w:tcPr>
          <w:p w14:paraId="4BB168D0" w14:textId="12D77E73" w:rsidR="006A6EB2" w:rsidRPr="00A83340" w:rsidRDefault="006A6EB2" w:rsidP="00002ACE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6922EFC7" w14:textId="4A5EF9DB" w:rsidR="00002ACE" w:rsidRPr="00A83340" w:rsidRDefault="00187942" w:rsidP="00002ACE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KOBİ’ler</w:t>
            </w:r>
            <w:proofErr w:type="spellEnd"/>
          </w:p>
        </w:tc>
        <w:tc>
          <w:tcPr>
            <w:tcW w:w="1440" w:type="dxa"/>
          </w:tcPr>
          <w:p w14:paraId="166A6F4C" w14:textId="473ACF58" w:rsidR="003B71D4" w:rsidRPr="00A83340" w:rsidRDefault="003B71D4" w:rsidP="00360FEB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RSO 2.1</w:t>
            </w:r>
            <w:r w:rsidR="007D49B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D49B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için</w:t>
            </w:r>
            <w:proofErr w:type="spellEnd"/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  <w:p w14:paraId="4AC339C7" w14:textId="5048E817" w:rsidR="007D49BC" w:rsidRDefault="007D49BC" w:rsidP="00360FEB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Tüm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endüstüri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yaşam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döngösünde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ekipmanın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enerji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verimli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olanlarla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değiştirilmesi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dahil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olmak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üzere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sera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gazı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emisyonlarının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enerji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tüketiminin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azaltılmasına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yönelik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yatırımlar</w:t>
            </w:r>
            <w:proofErr w:type="spellEnd"/>
          </w:p>
          <w:p w14:paraId="0CDF82B1" w14:textId="77777777" w:rsidR="005A7EDD" w:rsidRDefault="005A7EDD" w:rsidP="00360FEB">
            <w:pPr>
              <w:numPr>
                <w:ilvl w:val="0"/>
                <w:numId w:val="3"/>
              </w:num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Üretim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süreçlerinin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yürütüldüğü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işletmeye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ait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binalarda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enerji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verimliliğine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yönelik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yatırımlar</w:t>
            </w:r>
            <w:proofErr w:type="spellEnd"/>
          </w:p>
          <w:p w14:paraId="396F2BA3" w14:textId="77777777" w:rsidR="005A7EDD" w:rsidRDefault="006A6EB2" w:rsidP="005A7EDD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Veriye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dayalı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karar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alma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süreçlerini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desteklemek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üzere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işletme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seviyesinde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sera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gazı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salınımları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enerji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tüketimine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ilişkin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verilerin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toplanması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analizine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dönük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yatırımlar</w:t>
            </w:r>
          </w:p>
          <w:p w14:paraId="42785F8C" w14:textId="77777777" w:rsidR="005A7EDD" w:rsidRDefault="006A6EB2" w:rsidP="005A7EDD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End"/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Enerji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son-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kullanıcı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uygulamaları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gerçek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zamanlı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enerji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bilgi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yönetim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sistemlerine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yönelik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yatırımlar</w:t>
            </w:r>
            <w:proofErr w:type="spellEnd"/>
          </w:p>
          <w:p w14:paraId="151F4291" w14:textId="77777777" w:rsidR="005A7EDD" w:rsidRDefault="006A6EB2" w:rsidP="005A7EDD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İşletmelere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ait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binalarda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sanayi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süreçlerinde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enerji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kullanımının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sera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gazı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salınımlarının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azaltılmasına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yönelik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teknolojik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çözümler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içeren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yatırımlar</w:t>
            </w:r>
            <w:proofErr w:type="spellEnd"/>
          </w:p>
          <w:p w14:paraId="5D8825C1" w14:textId="77777777" w:rsidR="005A7EDD" w:rsidRDefault="006A6EB2" w:rsidP="00360FEB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Enerji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verimliliği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sera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gazlarının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azaltılmasına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yönelik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çözümlere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ilişkin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mevcut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teknolojilere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erişimin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sağlanması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yeni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teknolojilerin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ortaklaşa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geliştirilmesi</w:t>
            </w:r>
            <w:proofErr w:type="spellEnd"/>
          </w:p>
          <w:p w14:paraId="7D4F69C0" w14:textId="6DC77CBE" w:rsidR="005A7EDD" w:rsidRDefault="006A6EB2" w:rsidP="00360FEB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Enerji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verimliliği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sera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gazlarının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azaltılması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hususunda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sınırın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 xml:space="preserve">her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iki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tarafındaki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ilgili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yerel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işletmeler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arasında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deneyim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iyi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uygulamalar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bilgi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alışverişinin</w:t>
            </w:r>
            <w:proofErr w:type="spellEnd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7E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geliştirilmesi</w:t>
            </w:r>
            <w:proofErr w:type="spellEnd"/>
          </w:p>
          <w:p w14:paraId="16B3F9DF" w14:textId="77777777" w:rsidR="003B71D4" w:rsidRPr="00A83340" w:rsidRDefault="003B71D4" w:rsidP="00360FEB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7F021012" w14:textId="7C9C4CF5" w:rsidR="003B71D4" w:rsidRPr="00A83340" w:rsidRDefault="003B71D4" w:rsidP="00360FEB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 2.6</w:t>
            </w:r>
            <w:r w:rsidR="007D49B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D49B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için</w:t>
            </w:r>
            <w:proofErr w:type="spellEnd"/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  <w:p w14:paraId="7108582B" w14:textId="43906233" w:rsidR="003B71D4" w:rsidRPr="00A83340" w:rsidRDefault="003B71D4" w:rsidP="00360FEB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528C3B01" w14:textId="77777777" w:rsidR="0088223D" w:rsidRDefault="00862C34" w:rsidP="00862C34">
            <w:pPr>
              <w:spacing w:before="10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 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Gerekli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teknolojik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ekipmanın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temini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dahil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olmak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üzere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uzun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ömürlü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tekrar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kullanıma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tamire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geri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dönüşüme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uygun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ürünlerin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geliştirilmesi</w:t>
            </w:r>
            <w:proofErr w:type="spellEnd"/>
          </w:p>
          <w:p w14:paraId="05970D75" w14:textId="77777777" w:rsidR="0088223D" w:rsidRDefault="00862C34" w:rsidP="00862C34">
            <w:pPr>
              <w:spacing w:before="10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Ürün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hizmetlerin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kiralanması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paylaşımına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yönelik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iş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modelleri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geliştirilmesi</w:t>
            </w:r>
            <w:proofErr w:type="spellEnd"/>
          </w:p>
          <w:p w14:paraId="640CC018" w14:textId="3A3A66C5" w:rsidR="0088223D" w:rsidRDefault="00862C34" w:rsidP="00862C34">
            <w:pPr>
              <w:spacing w:before="10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- </w:t>
            </w:r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B2B, B2C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C2C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işbirliği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modellerinin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kullanılması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suretiyle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bölgesel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kapalı-devre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değer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zincirlerinin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oluşturulmasına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yönelik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iş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modellerinin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geliştirilmesi</w:t>
            </w:r>
            <w:proofErr w:type="spellEnd"/>
          </w:p>
          <w:p w14:paraId="60A57A68" w14:textId="77777777" w:rsidR="0088223D" w:rsidRDefault="00862C34" w:rsidP="00862C34">
            <w:pPr>
              <w:spacing w:before="10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 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Döngüsel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biyo-bazlı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iş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modelleri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çözümler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ürünlerin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geliştirilmesi</w:t>
            </w:r>
            <w:proofErr w:type="spellEnd"/>
          </w:p>
          <w:p w14:paraId="4344DFCC" w14:textId="222DED02" w:rsidR="00C4500D" w:rsidRDefault="00862C34" w:rsidP="00862C34">
            <w:pPr>
              <w:spacing w:before="10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 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Döngüsel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ürünler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üretim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süreçleri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bilgi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paylaşımı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tasarım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metodolojisi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yenilikçilik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labratuvarlar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88223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merkezlere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yönelik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destek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önlemleri</w:t>
            </w:r>
            <w:proofErr w:type="spellEnd"/>
          </w:p>
          <w:p w14:paraId="1154E1BA" w14:textId="287F2ED4" w:rsidR="00862C34" w:rsidRPr="00A83340" w:rsidRDefault="0088223D" w:rsidP="00862C34">
            <w:pPr>
              <w:spacing w:before="10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</w:t>
            </w:r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ürdürülebilirlik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performansı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çevresel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etki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döngüsel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kullanım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potansiyeline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göre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bölgesel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ürünleri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ödüllendiren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sertifikasyon</w:t>
            </w:r>
            <w:proofErr w:type="spellEnd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4500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uygulamaları</w:t>
            </w:r>
            <w:proofErr w:type="spellEnd"/>
          </w:p>
          <w:p w14:paraId="5221EBBA" w14:textId="32AAD621" w:rsidR="003B71D4" w:rsidRPr="00A83340" w:rsidRDefault="003B71D4" w:rsidP="00C4500D">
            <w:pPr>
              <w:ind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9" w:type="dxa"/>
          </w:tcPr>
          <w:p w14:paraId="7A5D1E1A" w14:textId="6386DFD9" w:rsidR="006A6EB2" w:rsidRPr="007B180F" w:rsidRDefault="006A6EB2" w:rsidP="007B180F">
            <w:pPr>
              <w:ind w:left="-85" w:right="-85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2021/1059</w:t>
            </w:r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sayılı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AB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tüzüğü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, madde</w:t>
            </w:r>
            <w:r w:rsidRPr="00A83340">
              <w:rPr>
                <w:rFonts w:ascii="Times New Roman" w:hAnsi="Times New Roman"/>
                <w:sz w:val="18"/>
                <w:szCs w:val="18"/>
                <w:lang w:val="en-GB"/>
              </w:rPr>
              <w:t>.37- 44</w:t>
            </w:r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’e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göre</w:t>
            </w:r>
            <w:proofErr w:type="spellEnd"/>
            <w:r w:rsidR="002E484A" w:rsidRPr="00A83340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personel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giderleri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ofis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ve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yönetim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giderleri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seyahat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ve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konaklama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harcamaları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dış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uzman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değerlendirme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ve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hizmetleri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ekipman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giderleri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proofErr w:type="gram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altyapı</w:t>
            </w:r>
            <w:proofErr w:type="spellEnd"/>
            <w:proofErr w:type="gram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ve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inşaat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maaliyetleri</w:t>
            </w:r>
            <w:proofErr w:type="spellEnd"/>
            <w:r w:rsidR="007B180F"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751" w:type="dxa"/>
          </w:tcPr>
          <w:p w14:paraId="6158BBFC" w14:textId="77777777" w:rsidR="006A6EB2" w:rsidRPr="00A83340" w:rsidRDefault="006A6EB2" w:rsidP="00360FEB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100%</w:t>
            </w:r>
          </w:p>
        </w:tc>
        <w:tc>
          <w:tcPr>
            <w:tcW w:w="861" w:type="dxa"/>
          </w:tcPr>
          <w:p w14:paraId="2430AC28" w14:textId="1A6C6825" w:rsidR="006A6EB2" w:rsidRPr="00A83340" w:rsidRDefault="00D35FB2" w:rsidP="00360FEB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2023</w:t>
            </w:r>
            <w:r w:rsidR="007B180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’ün </w:t>
            </w:r>
            <w:proofErr w:type="spellStart"/>
            <w:r w:rsidR="007B180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üçüncü</w:t>
            </w:r>
            <w:proofErr w:type="spellEnd"/>
            <w:r w:rsidR="007B180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180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çeyreği</w:t>
            </w:r>
            <w:proofErr w:type="spellEnd"/>
          </w:p>
        </w:tc>
        <w:tc>
          <w:tcPr>
            <w:tcW w:w="915" w:type="dxa"/>
          </w:tcPr>
          <w:p w14:paraId="7A494CCD" w14:textId="74828461" w:rsidR="006A6EB2" w:rsidRPr="00A83340" w:rsidRDefault="007B180F" w:rsidP="00360FEB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Teklif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çağrısı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duyurusundan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itibaren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90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gün</w:t>
            </w:r>
            <w:proofErr w:type="spellEnd"/>
          </w:p>
        </w:tc>
        <w:tc>
          <w:tcPr>
            <w:tcW w:w="559" w:type="dxa"/>
          </w:tcPr>
          <w:p w14:paraId="69143F3E" w14:textId="28B3C435" w:rsidR="006A6EB2" w:rsidRPr="00A83340" w:rsidRDefault="007B180F" w:rsidP="007B180F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Hayır</w:t>
            </w:r>
            <w:proofErr w:type="spellEnd"/>
            <w:r w:rsidR="006A6EB2"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46" w:type="dxa"/>
          </w:tcPr>
          <w:p w14:paraId="48CB2795" w14:textId="7E368951" w:rsidR="006A6EB2" w:rsidRPr="00A83340" w:rsidRDefault="007B180F" w:rsidP="00360FEB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Evet</w:t>
            </w:r>
          </w:p>
        </w:tc>
        <w:tc>
          <w:tcPr>
            <w:tcW w:w="879" w:type="dxa"/>
          </w:tcPr>
          <w:p w14:paraId="6B55DAE0" w14:textId="77777777" w:rsidR="006A6EB2" w:rsidRPr="00A83340" w:rsidRDefault="006A6EB2" w:rsidP="00360FEB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57BABF9B" w14:textId="6B5BC984" w:rsidR="006A6EB2" w:rsidRPr="00A83340" w:rsidRDefault="006A6EB2" w:rsidP="007B180F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200 000 </w:t>
            </w:r>
            <w:proofErr w:type="spellStart"/>
            <w:r w:rsidR="007B180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avro</w:t>
            </w:r>
            <w:proofErr w:type="spellEnd"/>
          </w:p>
        </w:tc>
        <w:tc>
          <w:tcPr>
            <w:tcW w:w="640" w:type="dxa"/>
          </w:tcPr>
          <w:p w14:paraId="14BA339E" w14:textId="77777777" w:rsidR="006A6EB2" w:rsidRPr="00A83340" w:rsidRDefault="006A6EB2" w:rsidP="00360FEB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465AE687" w14:textId="59CCBF80" w:rsidR="006A6EB2" w:rsidRPr="00A83340" w:rsidRDefault="006A6EB2" w:rsidP="007B180F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400 000 </w:t>
            </w:r>
            <w:proofErr w:type="spellStart"/>
            <w:r w:rsidR="007B180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avro</w:t>
            </w:r>
            <w:proofErr w:type="spellEnd"/>
          </w:p>
        </w:tc>
      </w:tr>
      <w:tr w:rsidR="006A6EB2" w:rsidRPr="00A83340" w14:paraId="68F2E2C8" w14:textId="77777777" w:rsidTr="00360FEB">
        <w:trPr>
          <w:trHeight w:val="315"/>
        </w:trPr>
        <w:tc>
          <w:tcPr>
            <w:tcW w:w="546" w:type="dxa"/>
          </w:tcPr>
          <w:p w14:paraId="4F9189B7" w14:textId="65C0BC43" w:rsidR="006A6EB2" w:rsidRPr="00A83340" w:rsidRDefault="006A6EB2" w:rsidP="00360FEB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14:paraId="1D5D1F54" w14:textId="4CC09659" w:rsidR="006A6EB2" w:rsidRPr="00A83340" w:rsidRDefault="006A6EB2" w:rsidP="00360FEB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316" w:type="dxa"/>
          </w:tcPr>
          <w:p w14:paraId="188797EF" w14:textId="1354A170" w:rsidR="006A6EB2" w:rsidRPr="00A83340" w:rsidRDefault="006A6EB2" w:rsidP="00360FEB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27" w:type="dxa"/>
          </w:tcPr>
          <w:p w14:paraId="37042A57" w14:textId="30C1F5A5" w:rsidR="00912264" w:rsidRPr="00A83340" w:rsidRDefault="00912264" w:rsidP="00360FEB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55" w:type="dxa"/>
          </w:tcPr>
          <w:p w14:paraId="35D92A2A" w14:textId="1BF97803" w:rsidR="006A6EB2" w:rsidRPr="00A83340" w:rsidRDefault="006A6EB2" w:rsidP="00360FEB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0D69C39B" w14:textId="6CA915A4" w:rsidR="006A6EB2" w:rsidRPr="00A83340" w:rsidRDefault="006A6EB2" w:rsidP="0062079B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336" w:type="dxa"/>
          </w:tcPr>
          <w:p w14:paraId="5EBD56A2" w14:textId="0FAF8856" w:rsidR="006A6EB2" w:rsidRPr="00A83340" w:rsidRDefault="006A6EB2" w:rsidP="00360FEB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</w:tcPr>
          <w:p w14:paraId="04F6BC95" w14:textId="2FEFD39B" w:rsidR="006A6EB2" w:rsidRPr="00A83340" w:rsidRDefault="006A6EB2" w:rsidP="00360FEB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9" w:type="dxa"/>
          </w:tcPr>
          <w:p w14:paraId="08AD5D59" w14:textId="17547EDF" w:rsidR="006A6EB2" w:rsidRPr="00A83340" w:rsidRDefault="006A6EB2" w:rsidP="00360FEB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51" w:type="dxa"/>
          </w:tcPr>
          <w:p w14:paraId="7DE2E22A" w14:textId="7BFB7FA5" w:rsidR="006A6EB2" w:rsidRPr="00A83340" w:rsidRDefault="006A6EB2" w:rsidP="00360FEB">
            <w:pPr>
              <w:ind w:left="-85" w:right="-85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861" w:type="dxa"/>
          </w:tcPr>
          <w:p w14:paraId="040B665D" w14:textId="59547253" w:rsidR="006A6EB2" w:rsidRPr="00A83340" w:rsidRDefault="006A6EB2" w:rsidP="00360FEB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15" w:type="dxa"/>
          </w:tcPr>
          <w:p w14:paraId="4462B010" w14:textId="17B2C946" w:rsidR="006A6EB2" w:rsidRPr="00A83340" w:rsidRDefault="006A6EB2" w:rsidP="00360FEB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</w:tcPr>
          <w:p w14:paraId="19092B15" w14:textId="40E04438" w:rsidR="006A6EB2" w:rsidRPr="00A83340" w:rsidRDefault="006A6EB2" w:rsidP="00360FEB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46" w:type="dxa"/>
          </w:tcPr>
          <w:p w14:paraId="0FC6933B" w14:textId="76A5DE40" w:rsidR="006A6EB2" w:rsidRPr="00A83340" w:rsidRDefault="006A6EB2" w:rsidP="00360FEB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79" w:type="dxa"/>
          </w:tcPr>
          <w:p w14:paraId="1F0D1588" w14:textId="30115895" w:rsidR="006A6EB2" w:rsidRPr="00A83340" w:rsidRDefault="006A6EB2" w:rsidP="00360FEB">
            <w:pPr>
              <w:ind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40" w:type="dxa"/>
          </w:tcPr>
          <w:p w14:paraId="6D296ACB" w14:textId="63882967" w:rsidR="006A6EB2" w:rsidRPr="00A83340" w:rsidRDefault="006A6EB2" w:rsidP="00360FEB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6A6EB2" w:rsidRPr="00A83340" w14:paraId="2E94E5B3" w14:textId="77777777" w:rsidTr="00360FEB">
        <w:trPr>
          <w:trHeight w:val="551"/>
        </w:trPr>
        <w:tc>
          <w:tcPr>
            <w:tcW w:w="14754" w:type="dxa"/>
            <w:gridSpan w:val="16"/>
            <w:shd w:val="clear" w:color="auto" w:fill="B4C6E7"/>
            <w:vAlign w:val="center"/>
          </w:tcPr>
          <w:p w14:paraId="48F3085E" w14:textId="1950D9D8" w:rsidR="006A6EB2" w:rsidRPr="00A83340" w:rsidRDefault="006A6EB2" w:rsidP="007B180F">
            <w:pPr>
              <w:spacing w:before="60" w:after="60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</w:pPr>
            <w:r w:rsidRPr="00A83340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>Priority 2</w:t>
            </w:r>
            <w:r w:rsidR="00F91956" w:rsidRPr="00A83340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 xml:space="preserve"> </w:t>
            </w:r>
            <w:r w:rsidRPr="00A83340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 xml:space="preserve"> </w:t>
            </w:r>
            <w:proofErr w:type="spellStart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>Sınır</w:t>
            </w:r>
            <w:proofErr w:type="spellEnd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 xml:space="preserve"> </w:t>
            </w:r>
            <w:proofErr w:type="spellStart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>ötesi</w:t>
            </w:r>
            <w:proofErr w:type="spellEnd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 xml:space="preserve"> </w:t>
            </w:r>
            <w:proofErr w:type="spellStart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>işbirliği</w:t>
            </w:r>
            <w:proofErr w:type="spellEnd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 xml:space="preserve"> </w:t>
            </w:r>
            <w:proofErr w:type="spellStart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>bölgesinin</w:t>
            </w:r>
            <w:proofErr w:type="spellEnd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 xml:space="preserve"> </w:t>
            </w:r>
            <w:proofErr w:type="spellStart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>entegre</w:t>
            </w:r>
            <w:proofErr w:type="spellEnd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 xml:space="preserve"> </w:t>
            </w:r>
            <w:proofErr w:type="spellStart"/>
            <w:r w:rsidR="007B180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GB" w:eastAsia="bg-BG"/>
              </w:rPr>
              <w:t>kalkınması</w:t>
            </w:r>
            <w:proofErr w:type="spellEnd"/>
          </w:p>
        </w:tc>
      </w:tr>
      <w:tr w:rsidR="007B180F" w:rsidRPr="00A83340" w14:paraId="0ADEEADC" w14:textId="77777777" w:rsidTr="00360FEB">
        <w:trPr>
          <w:trHeight w:val="315"/>
        </w:trPr>
        <w:tc>
          <w:tcPr>
            <w:tcW w:w="546" w:type="dxa"/>
          </w:tcPr>
          <w:p w14:paraId="213CDEEB" w14:textId="77777777" w:rsidR="007B180F" w:rsidRPr="00A83340" w:rsidRDefault="007B180F" w:rsidP="007B180F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2.1.</w:t>
            </w:r>
          </w:p>
        </w:tc>
        <w:tc>
          <w:tcPr>
            <w:tcW w:w="1272" w:type="dxa"/>
          </w:tcPr>
          <w:p w14:paraId="1867F764" w14:textId="17EAFEF5" w:rsidR="007B180F" w:rsidRDefault="007B180F" w:rsidP="007B180F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Kentsel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alanlar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dışında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entegre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kapsayıcı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sosyal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çevresel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kalkınmanın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kültür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doğal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miras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sürdürülebilir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turizm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güvenliğin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desteklenmesi</w:t>
            </w:r>
            <w:proofErr w:type="spellEnd"/>
          </w:p>
          <w:p w14:paraId="37409D83" w14:textId="1D0C1FDC" w:rsidR="007B180F" w:rsidRPr="00A83340" w:rsidRDefault="007B180F" w:rsidP="007B180F">
            <w:pPr>
              <w:ind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316" w:type="dxa"/>
          </w:tcPr>
          <w:p w14:paraId="44E770A6" w14:textId="7251891B" w:rsidR="007B180F" w:rsidRPr="00A83340" w:rsidRDefault="007B180F" w:rsidP="007B180F">
            <w:pPr>
              <w:ind w:left="-85" w:right="-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>hedef</w:t>
            </w:r>
            <w:proofErr w:type="spellEnd"/>
            <w:r w:rsidRPr="00A8334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bg-BG"/>
              </w:rPr>
              <w:t xml:space="preserve">: RSO 5.2.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Kentsel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alanlar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dışında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entegre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kapsayıcı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sosyal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çevresel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kalkınmanın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kültür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doğal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miras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sürdürülebilir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turizm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güvenliğin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desteklenmesi</w:t>
            </w:r>
            <w:proofErr w:type="spellEnd"/>
          </w:p>
        </w:tc>
        <w:tc>
          <w:tcPr>
            <w:tcW w:w="827" w:type="dxa"/>
          </w:tcPr>
          <w:p w14:paraId="6692EF15" w14:textId="79FF19B7" w:rsidR="007B180F" w:rsidRPr="00187942" w:rsidRDefault="007B180F" w:rsidP="007B180F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87942" w:rsidDel="0091226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14:paraId="081052DE" w14:textId="05618622" w:rsidR="007B180F" w:rsidRPr="00187942" w:rsidRDefault="007B180F" w:rsidP="007B180F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Bütünleşik</w:t>
            </w:r>
            <w:proofErr w:type="spellEnd"/>
            <w:r w:rsidRP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bölgesel</w:t>
            </w:r>
            <w:proofErr w:type="spellEnd"/>
            <w:r w:rsidRP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stratejide</w:t>
            </w:r>
            <w:proofErr w:type="spellEnd"/>
            <w:r w:rsidRP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belirlenmiş</w:t>
            </w:r>
            <w:proofErr w:type="spellEnd"/>
            <w:r w:rsidRP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faaliyet</w:t>
            </w:r>
            <w:proofErr w:type="spellEnd"/>
            <w:r w:rsidRP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listesine</w:t>
            </w:r>
            <w:proofErr w:type="spellEnd"/>
            <w:r w:rsidRP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dayalı</w:t>
            </w:r>
            <w:proofErr w:type="spellEnd"/>
            <w:r w:rsidRP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kısıtlı</w:t>
            </w:r>
            <w:proofErr w:type="spellEnd"/>
            <w:r w:rsidRP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teklif</w:t>
            </w:r>
            <w:proofErr w:type="spellEnd"/>
            <w:r w:rsidRP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8794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çağrısı</w:t>
            </w:r>
            <w:proofErr w:type="spellEnd"/>
          </w:p>
          <w:p w14:paraId="17D58A1C" w14:textId="04542AFC" w:rsidR="007B180F" w:rsidRPr="00187942" w:rsidRDefault="007B180F" w:rsidP="007B180F">
            <w:pPr>
              <w:ind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55" w:type="dxa"/>
          </w:tcPr>
          <w:p w14:paraId="76200C4A" w14:textId="286C8D37" w:rsidR="007B180F" w:rsidRPr="00A83340" w:rsidRDefault="007B180F" w:rsidP="007B180F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862" w:type="dxa"/>
          </w:tcPr>
          <w:p w14:paraId="0D147E6B" w14:textId="6B7FDEB7" w:rsidR="007B180F" w:rsidRPr="00A83340" w:rsidRDefault="007B180F" w:rsidP="007B180F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13 423 529 Euro</w:t>
            </w:r>
          </w:p>
        </w:tc>
        <w:tc>
          <w:tcPr>
            <w:tcW w:w="1336" w:type="dxa"/>
          </w:tcPr>
          <w:p w14:paraId="198D5A99" w14:textId="77777777" w:rsidR="007B180F" w:rsidRDefault="007B180F" w:rsidP="007B180F">
            <w:pPr>
              <w:pStyle w:val="ListeParagraf"/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Tüm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seviyelerdeki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bölgesel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yerel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otoriteler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merkezi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yönetimin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taşra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teşkilatı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yerel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yönetimler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dahil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  <w:p w14:paraId="39D2CE3B" w14:textId="77777777" w:rsidR="007B180F" w:rsidRDefault="007B180F" w:rsidP="007B180F">
            <w:pPr>
              <w:pStyle w:val="ListeParagraf"/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- </w:t>
            </w: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2003/361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sayılı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AB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tavsiye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kararında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tanımlanan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tüm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KOBİ’ler-mikro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küçük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büyüklükteki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işletmeler</w:t>
            </w:r>
            <w:proofErr w:type="spellEnd"/>
          </w:p>
          <w:p w14:paraId="64F1A52A" w14:textId="77777777" w:rsidR="007B180F" w:rsidRDefault="007B180F" w:rsidP="007B180F">
            <w:pPr>
              <w:pStyle w:val="ListeParagraf"/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STK’lar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diğer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sosyo-ekonomik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paydaşlar</w:t>
            </w:r>
            <w:proofErr w:type="spellEnd"/>
          </w:p>
          <w:p w14:paraId="6B9CA020" w14:textId="77777777" w:rsidR="007B180F" w:rsidRDefault="007B180F" w:rsidP="007B180F">
            <w:pPr>
              <w:pStyle w:val="ListeParagraf"/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araştırma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eğitim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kültür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kuruluşları</w:t>
            </w:r>
            <w:proofErr w:type="spellEnd"/>
          </w:p>
          <w:p w14:paraId="5B78CE28" w14:textId="72B7E11C" w:rsidR="007B180F" w:rsidRPr="00A83340" w:rsidRDefault="007B180F" w:rsidP="007B180F">
            <w:pPr>
              <w:pStyle w:val="ListeParagraf"/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</w:tcPr>
          <w:p w14:paraId="6DA40EC0" w14:textId="5959CE53" w:rsidR="001A486D" w:rsidRDefault="007B180F" w:rsidP="001A486D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-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Girişimcilerin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dijitalleşmesine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yönelik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ortak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işbirliğine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dayalı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</w:t>
            </w:r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aliyetler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müşteri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İletişim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yönetimi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müşteri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very platform,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işletme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kaynak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planlaması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gibi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bilgi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iletişim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teknolojilerine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dayalı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yönetim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üretim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çözümleri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</w:t>
            </w:r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ahil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), </w:t>
            </w:r>
            <w:proofErr w:type="spellStart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teknolojik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modernizasyo</w:t>
            </w:r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bölgesel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değer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zincirlerine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katılım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uluslararasılaşma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yeni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iş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teknoloji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gir</w:t>
            </w:r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işim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modellerinin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uygulanması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üretim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dışa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açılım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konularındaki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gelişme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döngösel</w:t>
            </w:r>
            <w:proofErr w:type="spellEnd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97F9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ekonomi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çözümlerinin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daha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geniş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kabulü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çözümler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modellemeler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pazarlama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araştırma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konularının</w:t>
            </w:r>
            <w:proofErr w:type="spellEnd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A48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desteklenmesi</w:t>
            </w:r>
            <w:proofErr w:type="spellEnd"/>
          </w:p>
          <w:p w14:paraId="4460C4F3" w14:textId="77777777" w:rsidR="001A486D" w:rsidRDefault="001A486D" w:rsidP="001A486D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64312476" w14:textId="7CFDF41A" w:rsidR="0015376C" w:rsidRDefault="007B180F" w:rsidP="007B180F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ab/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yerel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çalışanlar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işsizlerin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yeni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yetenekler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bilgiler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edinmesine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yönelik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çalışmalar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;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uzaktan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çalışmaya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yönelik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yeni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sistemler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geliştirilmesi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veya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eski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sistemlerin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iyileştirilmesi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;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genç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nesillere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yönelik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yeni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insan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kaynağı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yönetim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uygulamalarının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belirlenmesi</w:t>
            </w:r>
            <w:proofErr w:type="spellEnd"/>
            <w:r w:rsidR="0015376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;</w:t>
            </w:r>
          </w:p>
          <w:p w14:paraId="6B64F607" w14:textId="777E7D3F" w:rsidR="00C94D18" w:rsidRDefault="007B180F" w:rsidP="007B180F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Turizmdeki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mevsimselliğin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aşılması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ziyaretçi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sayısının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ziyaret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sürelerinin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arttırılması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turizm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altyapısına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ulaşımın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altyapı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kalitesinin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arttırılmasına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yönelik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mümkünse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sıfır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çevresel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ayak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izi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ile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yeni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bütünleşik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turizm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ürünlerinin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ortaklaşa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geliştirilmesi</w:t>
            </w:r>
            <w:proofErr w:type="spellEnd"/>
            <w:r w:rsidR="00C94D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;</w:t>
            </w:r>
            <w:bookmarkStart w:id="0" w:name="_GoBack"/>
            <w:bookmarkEnd w:id="0"/>
          </w:p>
          <w:p w14:paraId="4BB609A1" w14:textId="77893F71" w:rsidR="007B180F" w:rsidRPr="00A83340" w:rsidRDefault="00D254F1" w:rsidP="00D254F1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Turizm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potansiyeli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olan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doğal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varlıkların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yönetiminde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ekosistem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uygulamaları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hizmetlerinin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geliştirilmesine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yönelik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ortak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faaliyetlerin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desteklenmesi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50F0" w14:textId="33CB8619" w:rsidR="007B180F" w:rsidRPr="00A83340" w:rsidRDefault="007B180F" w:rsidP="007B180F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2021/1059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sayılı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AB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tüzüğü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>, madde</w:t>
            </w:r>
            <w:r w:rsidRPr="00A83340">
              <w:rPr>
                <w:rFonts w:ascii="Times New Roman" w:hAnsi="Times New Roman"/>
                <w:sz w:val="18"/>
                <w:szCs w:val="18"/>
                <w:lang w:val="en-GB"/>
              </w:rPr>
              <w:t>.37- 44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’e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göre</w:t>
            </w:r>
            <w:proofErr w:type="spellEnd"/>
            <w:r w:rsidRPr="00A83340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personel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giderleri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ofis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ve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yönetim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giderleri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seyahat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ve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konaklama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harcamaları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dış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uzman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değerlendirme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ve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hizmetleri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ekipman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giderleri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altyapı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ve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inşaat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maaliyetleri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751" w:type="dxa"/>
          </w:tcPr>
          <w:p w14:paraId="04D9CCCD" w14:textId="734B7381" w:rsidR="007B180F" w:rsidRPr="00A83340" w:rsidRDefault="007B180F" w:rsidP="007B180F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100%</w:t>
            </w:r>
          </w:p>
        </w:tc>
        <w:tc>
          <w:tcPr>
            <w:tcW w:w="861" w:type="dxa"/>
          </w:tcPr>
          <w:p w14:paraId="32927E22" w14:textId="4973CB37" w:rsidR="007B180F" w:rsidRPr="00A83340" w:rsidRDefault="007B180F" w:rsidP="007B180F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’ün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üçüncü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çeyreği</w:t>
            </w:r>
            <w:proofErr w:type="spellEnd"/>
          </w:p>
        </w:tc>
        <w:tc>
          <w:tcPr>
            <w:tcW w:w="915" w:type="dxa"/>
          </w:tcPr>
          <w:p w14:paraId="38FDB7E4" w14:textId="327057CC" w:rsidR="007B180F" w:rsidRPr="00A83340" w:rsidRDefault="007B180F" w:rsidP="007B180F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Teklif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çağrısı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duyurusundan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itibaren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90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gün</w:t>
            </w:r>
            <w:proofErr w:type="spellEnd"/>
          </w:p>
        </w:tc>
        <w:tc>
          <w:tcPr>
            <w:tcW w:w="559" w:type="dxa"/>
          </w:tcPr>
          <w:p w14:paraId="788481FD" w14:textId="5CC486EB" w:rsidR="007B180F" w:rsidRPr="00A83340" w:rsidRDefault="007B180F" w:rsidP="007B180F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Hayır</w:t>
            </w:r>
            <w:proofErr w:type="spellEnd"/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46" w:type="dxa"/>
          </w:tcPr>
          <w:p w14:paraId="0E7BB0CA" w14:textId="059708EE" w:rsidR="007B180F" w:rsidRPr="00A83340" w:rsidRDefault="007B180F" w:rsidP="007B180F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Evet</w:t>
            </w:r>
          </w:p>
        </w:tc>
        <w:tc>
          <w:tcPr>
            <w:tcW w:w="879" w:type="dxa"/>
          </w:tcPr>
          <w:p w14:paraId="61C72604" w14:textId="181FE82F" w:rsidR="007B180F" w:rsidRPr="00A83340" w:rsidRDefault="007B180F" w:rsidP="007B180F">
            <w:pPr>
              <w:ind w:left="-85" w:right="-85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1768CA0A" w14:textId="77777777" w:rsidR="007B180F" w:rsidRPr="00A83340" w:rsidRDefault="007B180F" w:rsidP="007B180F">
            <w:pPr>
              <w:ind w:left="-85" w:right="-85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627ED4A2" w14:textId="1C23188A" w:rsidR="007B180F" w:rsidRPr="00A83340" w:rsidRDefault="007B180F" w:rsidP="007B180F">
            <w:pPr>
              <w:ind w:left="-85" w:right="-85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500 000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avro</w:t>
            </w:r>
            <w:proofErr w:type="spellEnd"/>
          </w:p>
        </w:tc>
        <w:tc>
          <w:tcPr>
            <w:tcW w:w="640" w:type="dxa"/>
          </w:tcPr>
          <w:p w14:paraId="154D9E1E" w14:textId="1B1B12FE" w:rsidR="007B180F" w:rsidRPr="00A83340" w:rsidRDefault="007B180F" w:rsidP="007B180F">
            <w:pPr>
              <w:ind w:left="-85" w:right="-85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6820E3C0" w14:textId="77777777" w:rsidR="007B180F" w:rsidRPr="00A83340" w:rsidRDefault="007B180F" w:rsidP="007B180F">
            <w:pPr>
              <w:ind w:left="-85" w:right="-85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38009EF5" w14:textId="7F85D1CB" w:rsidR="007B180F" w:rsidRPr="00A83340" w:rsidRDefault="007B180F" w:rsidP="007B180F">
            <w:pPr>
              <w:ind w:left="-85" w:right="-85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A8334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000 000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avro</w:t>
            </w:r>
            <w:proofErr w:type="spellEnd"/>
          </w:p>
        </w:tc>
      </w:tr>
    </w:tbl>
    <w:p w14:paraId="0853B598" w14:textId="3A9DD29E" w:rsidR="00EA59B4" w:rsidRPr="00A83340" w:rsidRDefault="00360FEB" w:rsidP="00A04171">
      <w:pPr>
        <w:rPr>
          <w:lang w:val="en-GB"/>
        </w:rPr>
      </w:pPr>
      <w:r w:rsidRPr="00A83340">
        <w:rPr>
          <w:lang w:val="en-GB"/>
        </w:rPr>
        <w:lastRenderedPageBreak/>
        <w:br w:type="textWrapping" w:clear="all"/>
      </w:r>
    </w:p>
    <w:sectPr w:rsidR="00EA59B4" w:rsidRPr="00A83340" w:rsidSect="00360FEB">
      <w:headerReference w:type="default" r:id="rId8"/>
      <w:headerReference w:type="first" r:id="rId9"/>
      <w:pgSz w:w="15840" w:h="12240" w:orient="landscape"/>
      <w:pgMar w:top="993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CA504" w14:textId="77777777" w:rsidR="00713B10" w:rsidRDefault="00713B10" w:rsidP="00E11669">
      <w:pPr>
        <w:spacing w:after="0" w:line="240" w:lineRule="auto"/>
      </w:pPr>
      <w:r>
        <w:separator/>
      </w:r>
    </w:p>
  </w:endnote>
  <w:endnote w:type="continuationSeparator" w:id="0">
    <w:p w14:paraId="16A04B03" w14:textId="77777777" w:rsidR="00713B10" w:rsidRDefault="00713B10" w:rsidP="00E1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BD72F" w14:textId="77777777" w:rsidR="00713B10" w:rsidRDefault="00713B10" w:rsidP="00E11669">
      <w:pPr>
        <w:spacing w:after="0" w:line="240" w:lineRule="auto"/>
      </w:pPr>
      <w:r>
        <w:separator/>
      </w:r>
    </w:p>
  </w:footnote>
  <w:footnote w:type="continuationSeparator" w:id="0">
    <w:p w14:paraId="1675F26E" w14:textId="77777777" w:rsidR="00713B10" w:rsidRDefault="00713B10" w:rsidP="00E11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B25A7" w14:textId="3FAC83E2" w:rsidR="00360FEB" w:rsidRPr="00360FEB" w:rsidRDefault="00360FEB" w:rsidP="00360FEB">
    <w:pPr>
      <w:pStyle w:val="stBilgi"/>
      <w:ind w:right="-1074"/>
      <w:jc w:val="right"/>
    </w:pPr>
    <w:r w:rsidRPr="00941F2C">
      <w:rPr>
        <w:noProof/>
      </w:rPr>
      <w:drawing>
        <wp:inline distT="0" distB="0" distL="0" distR="0" wp14:anchorId="584C5A67" wp14:editId="053FF451">
          <wp:extent cx="2017728" cy="607174"/>
          <wp:effectExtent l="0" t="0" r="1905" b="2540"/>
          <wp:docPr id="1" name="Picture 1" descr="\\uts-file\GD_TCM\xChangeFiles\CBC ExB department\Spravki\presentations\logo\2021-2027\Bulgaria - Turkiye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ts-file\GD_TCM\xChangeFiles\CBC ExB department\Spravki\presentations\logo\2021-2027\Bulgaria - Turkiye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586" cy="62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E101A" w14:textId="15434BA2" w:rsidR="00360FEB" w:rsidRDefault="00360FEB" w:rsidP="00360FEB">
    <w:pPr>
      <w:pStyle w:val="stBilgi"/>
      <w:jc w:val="center"/>
    </w:pPr>
    <w:r w:rsidRPr="00941F2C">
      <w:rPr>
        <w:noProof/>
      </w:rPr>
      <w:drawing>
        <wp:inline distT="0" distB="0" distL="0" distR="0" wp14:anchorId="51B947DD" wp14:editId="4C06C419">
          <wp:extent cx="3413760" cy="1027268"/>
          <wp:effectExtent l="0" t="0" r="0" b="1905"/>
          <wp:docPr id="2" name="Picture 2" descr="\\uts-file\GD_TCM\xChangeFiles\CBC ExB department\Spravki\presentations\logo\2021-2027\Bulgaria - Turkiye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ts-file\GD_TCM\xChangeFiles\CBC ExB department\Spravki\presentations\logo\2021-2027\Bulgaria - Turkiye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3431" cy="104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6B82"/>
    <w:multiLevelType w:val="hybridMultilevel"/>
    <w:tmpl w:val="43326766"/>
    <w:lvl w:ilvl="0" w:tplc="5560C9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88146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09CE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A0108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A9C80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AD25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2CB7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A78D4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0A33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0C0C13"/>
    <w:multiLevelType w:val="hybridMultilevel"/>
    <w:tmpl w:val="AC68C28E"/>
    <w:lvl w:ilvl="0" w:tplc="752C85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C8D1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A4568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391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EDF9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CC4768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EE6E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CA7B66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0C3C6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205EF4"/>
    <w:multiLevelType w:val="hybridMultilevel"/>
    <w:tmpl w:val="05FCCF58"/>
    <w:lvl w:ilvl="0" w:tplc="1D0A87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42C7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C8994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6CDEB0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D25B2A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EE8A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6A7A2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2E1CE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825EA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69"/>
    <w:rsid w:val="00002699"/>
    <w:rsid w:val="00002ACE"/>
    <w:rsid w:val="00003740"/>
    <w:rsid w:val="0000543D"/>
    <w:rsid w:val="000068B8"/>
    <w:rsid w:val="00007DC4"/>
    <w:rsid w:val="000113C6"/>
    <w:rsid w:val="00014AA5"/>
    <w:rsid w:val="00065BD3"/>
    <w:rsid w:val="000B196A"/>
    <w:rsid w:val="000C7C2F"/>
    <w:rsid w:val="000D1D4A"/>
    <w:rsid w:val="00102442"/>
    <w:rsid w:val="00122B94"/>
    <w:rsid w:val="0015376C"/>
    <w:rsid w:val="00161F44"/>
    <w:rsid w:val="00187942"/>
    <w:rsid w:val="001A4447"/>
    <w:rsid w:val="001A486D"/>
    <w:rsid w:val="001B0A28"/>
    <w:rsid w:val="001C649D"/>
    <w:rsid w:val="001D15C7"/>
    <w:rsid w:val="00210A88"/>
    <w:rsid w:val="00216179"/>
    <w:rsid w:val="00227120"/>
    <w:rsid w:val="002438CA"/>
    <w:rsid w:val="00286CAA"/>
    <w:rsid w:val="002A7C4E"/>
    <w:rsid w:val="002B7947"/>
    <w:rsid w:val="002C4B72"/>
    <w:rsid w:val="002C4BA5"/>
    <w:rsid w:val="002D058D"/>
    <w:rsid w:val="002D7CE9"/>
    <w:rsid w:val="002E484A"/>
    <w:rsid w:val="00317E99"/>
    <w:rsid w:val="0035157E"/>
    <w:rsid w:val="00360FEB"/>
    <w:rsid w:val="003921C4"/>
    <w:rsid w:val="003A0947"/>
    <w:rsid w:val="003B5D40"/>
    <w:rsid w:val="003B71D4"/>
    <w:rsid w:val="003C2512"/>
    <w:rsid w:val="003D0B0C"/>
    <w:rsid w:val="003E5744"/>
    <w:rsid w:val="003F2CB8"/>
    <w:rsid w:val="00421D00"/>
    <w:rsid w:val="004472FD"/>
    <w:rsid w:val="00451589"/>
    <w:rsid w:val="004772E6"/>
    <w:rsid w:val="00481AE4"/>
    <w:rsid w:val="00493C00"/>
    <w:rsid w:val="00496638"/>
    <w:rsid w:val="00497F9F"/>
    <w:rsid w:val="004A38F6"/>
    <w:rsid w:val="004A4AF2"/>
    <w:rsid w:val="004E293A"/>
    <w:rsid w:val="00524547"/>
    <w:rsid w:val="005279A4"/>
    <w:rsid w:val="00541158"/>
    <w:rsid w:val="00581FB4"/>
    <w:rsid w:val="005940AE"/>
    <w:rsid w:val="005A7EDD"/>
    <w:rsid w:val="005F1DFE"/>
    <w:rsid w:val="005F76AF"/>
    <w:rsid w:val="00610E24"/>
    <w:rsid w:val="00611200"/>
    <w:rsid w:val="0062079B"/>
    <w:rsid w:val="00621AB4"/>
    <w:rsid w:val="0068033D"/>
    <w:rsid w:val="0068593B"/>
    <w:rsid w:val="006A5439"/>
    <w:rsid w:val="006A6EB2"/>
    <w:rsid w:val="006B20B9"/>
    <w:rsid w:val="006C58D4"/>
    <w:rsid w:val="006E3D30"/>
    <w:rsid w:val="00704AE9"/>
    <w:rsid w:val="00713B10"/>
    <w:rsid w:val="00731EEE"/>
    <w:rsid w:val="00732C70"/>
    <w:rsid w:val="00784307"/>
    <w:rsid w:val="007A43FE"/>
    <w:rsid w:val="007B180F"/>
    <w:rsid w:val="007D4612"/>
    <w:rsid w:val="007D49BC"/>
    <w:rsid w:val="007E299E"/>
    <w:rsid w:val="007F2D72"/>
    <w:rsid w:val="008057CC"/>
    <w:rsid w:val="00813AEE"/>
    <w:rsid w:val="00823145"/>
    <w:rsid w:val="00833754"/>
    <w:rsid w:val="00862C34"/>
    <w:rsid w:val="00867ADC"/>
    <w:rsid w:val="0088223D"/>
    <w:rsid w:val="008D1353"/>
    <w:rsid w:val="00902771"/>
    <w:rsid w:val="009060BA"/>
    <w:rsid w:val="00912264"/>
    <w:rsid w:val="00927092"/>
    <w:rsid w:val="00933F38"/>
    <w:rsid w:val="00942C59"/>
    <w:rsid w:val="0096749E"/>
    <w:rsid w:val="00967C76"/>
    <w:rsid w:val="00976B2A"/>
    <w:rsid w:val="009815AF"/>
    <w:rsid w:val="0098632B"/>
    <w:rsid w:val="009A6D08"/>
    <w:rsid w:val="009B4891"/>
    <w:rsid w:val="009E0CC6"/>
    <w:rsid w:val="009E1D50"/>
    <w:rsid w:val="009F0FBA"/>
    <w:rsid w:val="00A04171"/>
    <w:rsid w:val="00A0498A"/>
    <w:rsid w:val="00A209C4"/>
    <w:rsid w:val="00A24A62"/>
    <w:rsid w:val="00A24F40"/>
    <w:rsid w:val="00A4404D"/>
    <w:rsid w:val="00A442E4"/>
    <w:rsid w:val="00A53A3E"/>
    <w:rsid w:val="00A80935"/>
    <w:rsid w:val="00A83340"/>
    <w:rsid w:val="00A97240"/>
    <w:rsid w:val="00AA6B21"/>
    <w:rsid w:val="00AB2AD1"/>
    <w:rsid w:val="00AD60DC"/>
    <w:rsid w:val="00B00674"/>
    <w:rsid w:val="00B07A72"/>
    <w:rsid w:val="00B45543"/>
    <w:rsid w:val="00B6481D"/>
    <w:rsid w:val="00B92ADA"/>
    <w:rsid w:val="00B95B19"/>
    <w:rsid w:val="00BB64A6"/>
    <w:rsid w:val="00BE6727"/>
    <w:rsid w:val="00BF6203"/>
    <w:rsid w:val="00C14E3C"/>
    <w:rsid w:val="00C44897"/>
    <w:rsid w:val="00C4500D"/>
    <w:rsid w:val="00C72A15"/>
    <w:rsid w:val="00C94D18"/>
    <w:rsid w:val="00CA0E96"/>
    <w:rsid w:val="00CC40B5"/>
    <w:rsid w:val="00CC6458"/>
    <w:rsid w:val="00CD0999"/>
    <w:rsid w:val="00CF2269"/>
    <w:rsid w:val="00D20FE9"/>
    <w:rsid w:val="00D254F1"/>
    <w:rsid w:val="00D35FB2"/>
    <w:rsid w:val="00D446E3"/>
    <w:rsid w:val="00D463B2"/>
    <w:rsid w:val="00D92FDD"/>
    <w:rsid w:val="00DA2125"/>
    <w:rsid w:val="00DF64FD"/>
    <w:rsid w:val="00E00C8B"/>
    <w:rsid w:val="00E076CF"/>
    <w:rsid w:val="00E11669"/>
    <w:rsid w:val="00E31E9A"/>
    <w:rsid w:val="00E5122E"/>
    <w:rsid w:val="00E51904"/>
    <w:rsid w:val="00E65C45"/>
    <w:rsid w:val="00E676B4"/>
    <w:rsid w:val="00E70C5E"/>
    <w:rsid w:val="00E73108"/>
    <w:rsid w:val="00E925BC"/>
    <w:rsid w:val="00EA59B4"/>
    <w:rsid w:val="00F269A3"/>
    <w:rsid w:val="00F26B72"/>
    <w:rsid w:val="00F478C8"/>
    <w:rsid w:val="00F56728"/>
    <w:rsid w:val="00F737DF"/>
    <w:rsid w:val="00F77E07"/>
    <w:rsid w:val="00F91956"/>
    <w:rsid w:val="00FA6422"/>
    <w:rsid w:val="00FD34D5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9F0A"/>
  <w15:chartTrackingRefBased/>
  <w15:docId w15:val="{188BA1CF-5922-4182-91BF-BFFBE6A3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2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semiHidden/>
    <w:unhideWhenUsed/>
    <w:rsid w:val="00E11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DipnotMetniChar">
    <w:name w:val="Dipnot Metni Char"/>
    <w:basedOn w:val="VarsaylanParagrafYazTipi"/>
    <w:link w:val="DipnotMetni"/>
    <w:semiHidden/>
    <w:rsid w:val="00E1166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DipnotBavurusu">
    <w:name w:val="footnote reference"/>
    <w:semiHidden/>
    <w:unhideWhenUsed/>
    <w:rsid w:val="00E11669"/>
    <w:rPr>
      <w:vertAlign w:val="superscript"/>
    </w:rPr>
  </w:style>
  <w:style w:type="character" w:styleId="Gl">
    <w:name w:val="Strong"/>
    <w:basedOn w:val="VarsaylanParagrafYazTipi"/>
    <w:uiPriority w:val="22"/>
    <w:qFormat/>
    <w:rsid w:val="00E11669"/>
    <w:rPr>
      <w:b/>
      <w:bCs/>
    </w:rPr>
  </w:style>
  <w:style w:type="paragraph" w:styleId="ListeParagraf">
    <w:name w:val="List Paragraph"/>
    <w:basedOn w:val="Normal"/>
    <w:uiPriority w:val="34"/>
    <w:qFormat/>
    <w:rsid w:val="009E0CC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621A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21AB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21AB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21A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21AB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B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60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0FEB"/>
  </w:style>
  <w:style w:type="paragraph" w:styleId="AltBilgi">
    <w:name w:val="footer"/>
    <w:basedOn w:val="Normal"/>
    <w:link w:val="AltBilgiChar"/>
    <w:uiPriority w:val="99"/>
    <w:unhideWhenUsed/>
    <w:rsid w:val="00360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07F5-543D-4F52-8444-CEFB3FCC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837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Даниела Кирилова Димитрова</dc:creator>
  <cp:keywords/>
  <dc:description/>
  <cp:lastModifiedBy>Mustafa Unsoy</cp:lastModifiedBy>
  <cp:revision>8</cp:revision>
  <dcterms:created xsi:type="dcterms:W3CDTF">2023-07-14T07:33:00Z</dcterms:created>
  <dcterms:modified xsi:type="dcterms:W3CDTF">2023-07-14T08:03:00Z</dcterms:modified>
</cp:coreProperties>
</file>