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DF127" w14:textId="5EA71176" w:rsidR="002139C6" w:rsidRPr="005E2279" w:rsidRDefault="002139C6" w:rsidP="00923CFE">
      <w:pPr>
        <w:jc w:val="center"/>
        <w:rPr>
          <w:b/>
          <w:sz w:val="28"/>
          <w:szCs w:val="28"/>
          <w:lang w:val="en-GB"/>
        </w:rPr>
      </w:pPr>
      <w:r w:rsidRPr="005E2279">
        <w:rPr>
          <w:b/>
          <w:sz w:val="28"/>
          <w:szCs w:val="28"/>
          <w:lang w:val="en-GB"/>
        </w:rPr>
        <w:t xml:space="preserve">WORKS </w:t>
      </w:r>
      <w:r w:rsidR="008D70D4" w:rsidRPr="005E2279">
        <w:rPr>
          <w:b/>
          <w:sz w:val="28"/>
          <w:szCs w:val="28"/>
          <w:lang w:val="en-GB"/>
        </w:rPr>
        <w:t>CONTRACT</w:t>
      </w:r>
      <w:r w:rsidR="0076200F" w:rsidRPr="005E2279">
        <w:rPr>
          <w:b/>
          <w:sz w:val="28"/>
          <w:szCs w:val="28"/>
          <w:lang w:val="en-GB"/>
        </w:rPr>
        <w:t xml:space="preserve"> </w:t>
      </w:r>
      <w:r w:rsidRPr="005E2279">
        <w:rPr>
          <w:b/>
          <w:sz w:val="28"/>
          <w:szCs w:val="28"/>
          <w:lang w:val="en-GB"/>
        </w:rPr>
        <w:t>NOTICE</w:t>
      </w:r>
    </w:p>
    <w:p w14:paraId="2D1946CD" w14:textId="4F68ABB2" w:rsidR="002139C6" w:rsidRPr="005E2279" w:rsidRDefault="005E2279" w:rsidP="00923CFE">
      <w:pPr>
        <w:jc w:val="center"/>
        <w:rPr>
          <w:rStyle w:val="Strong"/>
          <w:sz w:val="22"/>
          <w:szCs w:val="22"/>
          <w:lang w:val="en-GB"/>
        </w:rPr>
      </w:pPr>
      <w:bookmarkStart w:id="0" w:name="_Hlk64962437"/>
      <w:r w:rsidRPr="005E2279">
        <w:rPr>
          <w:b/>
          <w:sz w:val="22"/>
          <w:szCs w:val="22"/>
          <w:lang w:val="en-GB"/>
        </w:rPr>
        <w:t>Construction works for pedestrian access to the Old Bridge tourist site and elements of the urban environment for development of recreation and tourism for LP</w:t>
      </w:r>
      <w:r>
        <w:rPr>
          <w:b/>
          <w:sz w:val="22"/>
          <w:szCs w:val="22"/>
          <w:lang w:val="en-GB"/>
        </w:rPr>
        <w:t xml:space="preserve"> under project </w:t>
      </w:r>
      <w:r w:rsidRPr="005E2279">
        <w:rPr>
          <w:b/>
          <w:sz w:val="22"/>
          <w:szCs w:val="22"/>
        </w:rPr>
        <w:t>CB005.2.21.081</w:t>
      </w:r>
      <w:bookmarkEnd w:id="0"/>
    </w:p>
    <w:p w14:paraId="3DBDF3F3" w14:textId="7804C5F3" w:rsidR="005E63ED" w:rsidRDefault="002139C6" w:rsidP="00923CFE">
      <w:pPr>
        <w:jc w:val="center"/>
        <w:rPr>
          <w:b/>
          <w:sz w:val="22"/>
          <w:szCs w:val="22"/>
          <w:lang w:val="en-US"/>
        </w:rPr>
      </w:pPr>
      <w:r w:rsidRPr="005E2279">
        <w:rPr>
          <w:b/>
          <w:sz w:val="22"/>
          <w:szCs w:val="22"/>
          <w:lang w:val="en-GB"/>
        </w:rPr>
        <w:t>Location</w:t>
      </w:r>
      <w:r w:rsidRPr="005E2279">
        <w:rPr>
          <w:sz w:val="22"/>
          <w:szCs w:val="22"/>
          <w:lang w:val="en-GB"/>
        </w:rPr>
        <w:t xml:space="preserve"> </w:t>
      </w:r>
      <w:r w:rsidR="005C6D8A">
        <w:rPr>
          <w:sz w:val="22"/>
          <w:szCs w:val="22"/>
          <w:lang w:val="en-GB"/>
        </w:rPr>
        <w:t>–</w:t>
      </w:r>
      <w:r w:rsidRPr="005E2279">
        <w:rPr>
          <w:sz w:val="22"/>
          <w:szCs w:val="22"/>
          <w:lang w:val="en-GB"/>
        </w:rPr>
        <w:t xml:space="preserve"> </w:t>
      </w:r>
      <w:r w:rsidR="005C6D8A" w:rsidRPr="005C6D8A">
        <w:rPr>
          <w:b/>
          <w:sz w:val="22"/>
          <w:szCs w:val="22"/>
          <w:lang w:val="en-US"/>
        </w:rPr>
        <w:t xml:space="preserve">Town of Svilengrad, </w:t>
      </w:r>
      <w:r w:rsidR="005E2279" w:rsidRPr="005E2279">
        <w:rPr>
          <w:b/>
          <w:sz w:val="22"/>
          <w:szCs w:val="22"/>
          <w:lang w:val="en-US"/>
        </w:rPr>
        <w:t xml:space="preserve">Municipality of </w:t>
      </w:r>
      <w:r w:rsidR="005E2279">
        <w:rPr>
          <w:b/>
          <w:sz w:val="22"/>
          <w:szCs w:val="22"/>
          <w:lang w:val="en-US"/>
        </w:rPr>
        <w:t>Svilengrad</w:t>
      </w:r>
      <w:r w:rsidR="005E2279" w:rsidRPr="005E2279">
        <w:rPr>
          <w:b/>
          <w:sz w:val="22"/>
          <w:szCs w:val="22"/>
          <w:lang w:val="en-US"/>
        </w:rPr>
        <w:t>, Haskovo District, Bulgaria</w:t>
      </w:r>
    </w:p>
    <w:p w14:paraId="6A2AE1ED" w14:textId="77777777" w:rsidR="005C6D8A" w:rsidRPr="005E2279" w:rsidRDefault="005C6D8A" w:rsidP="00923CFE">
      <w:pPr>
        <w:jc w:val="center"/>
        <w:rPr>
          <w:rStyle w:val="Strong"/>
          <w:b w:val="0"/>
          <w:sz w:val="22"/>
          <w:szCs w:val="22"/>
          <w:lang w:val="en-GB"/>
        </w:rPr>
      </w:pPr>
    </w:p>
    <w:p w14:paraId="3B448413" w14:textId="77777777" w:rsidR="002139C6" w:rsidRPr="005E2279" w:rsidRDefault="00D62A71" w:rsidP="00923CFE">
      <w:pPr>
        <w:pStyle w:val="PRAGHeading2"/>
        <w:rPr>
          <w:rStyle w:val="Strong"/>
          <w:sz w:val="22"/>
          <w:szCs w:val="22"/>
          <w:lang w:val="en-GB"/>
        </w:rPr>
      </w:pPr>
      <w:r w:rsidRPr="005E2279">
        <w:rPr>
          <w:rStyle w:val="Strong"/>
          <w:sz w:val="22"/>
          <w:szCs w:val="22"/>
          <w:lang w:val="en-GB"/>
        </w:rPr>
        <w:t>R</w:t>
      </w:r>
      <w:r w:rsidR="002139C6" w:rsidRPr="005E2279">
        <w:rPr>
          <w:rStyle w:val="Strong"/>
          <w:sz w:val="22"/>
          <w:szCs w:val="22"/>
          <w:lang w:val="en-GB"/>
        </w:rPr>
        <w:t>eference</w:t>
      </w:r>
    </w:p>
    <w:p w14:paraId="4E8B9BBA" w14:textId="1225A72C" w:rsidR="002139C6" w:rsidRPr="005E2279" w:rsidRDefault="005E2279" w:rsidP="00923CFE">
      <w:pPr>
        <w:ind w:left="709"/>
        <w:rPr>
          <w:sz w:val="22"/>
          <w:szCs w:val="22"/>
          <w:lang w:val="en-GB"/>
        </w:rPr>
      </w:pPr>
      <w:bookmarkStart w:id="1" w:name="_Hlk64962480"/>
      <w:r w:rsidRPr="005E2279">
        <w:rPr>
          <w:b/>
          <w:sz w:val="22"/>
          <w:szCs w:val="22"/>
        </w:rPr>
        <w:t>CB005.2.21.081</w:t>
      </w:r>
      <w:r>
        <w:rPr>
          <w:b/>
          <w:sz w:val="22"/>
          <w:szCs w:val="22"/>
        </w:rPr>
        <w:t xml:space="preserve"> – LP – Works 1</w:t>
      </w:r>
    </w:p>
    <w:bookmarkEnd w:id="1"/>
    <w:p w14:paraId="5CE20BB4" w14:textId="77777777" w:rsidR="002139C6" w:rsidRPr="005E2279" w:rsidRDefault="002139C6" w:rsidP="00923CFE">
      <w:pPr>
        <w:pStyle w:val="PRAGHeading2"/>
        <w:rPr>
          <w:rStyle w:val="Strong"/>
          <w:sz w:val="22"/>
          <w:szCs w:val="22"/>
          <w:lang w:val="en-GB"/>
        </w:rPr>
      </w:pPr>
      <w:r w:rsidRPr="005E2279">
        <w:rPr>
          <w:rStyle w:val="Strong"/>
          <w:sz w:val="22"/>
          <w:szCs w:val="22"/>
          <w:lang w:val="en-GB"/>
        </w:rPr>
        <w:t>Procedure</w:t>
      </w:r>
    </w:p>
    <w:p w14:paraId="66E7F020" w14:textId="498B0B37" w:rsidR="00B76C69" w:rsidRPr="005E2279" w:rsidRDefault="00ED60CD" w:rsidP="00923CFE">
      <w:pPr>
        <w:pStyle w:val="PRAGHeading2"/>
        <w:numPr>
          <w:ilvl w:val="0"/>
          <w:numId w:val="0"/>
        </w:numPr>
        <w:ind w:left="709"/>
        <w:rPr>
          <w:sz w:val="22"/>
          <w:szCs w:val="22"/>
          <w:lang w:val="en-GB"/>
        </w:rPr>
      </w:pPr>
      <w:r w:rsidRPr="005E2279">
        <w:rPr>
          <w:sz w:val="22"/>
          <w:szCs w:val="22"/>
          <w:lang w:val="en-GB"/>
        </w:rPr>
        <w:t>Simplified</w:t>
      </w:r>
    </w:p>
    <w:p w14:paraId="6AF3DF81" w14:textId="77777777" w:rsidR="002139C6" w:rsidRPr="005E2279" w:rsidRDefault="002139C6" w:rsidP="00923CFE">
      <w:pPr>
        <w:pStyle w:val="PRAGHeading2"/>
        <w:rPr>
          <w:rStyle w:val="Strong"/>
          <w:sz w:val="22"/>
          <w:szCs w:val="22"/>
          <w:lang w:val="en-GB"/>
        </w:rPr>
      </w:pPr>
      <w:r w:rsidRPr="005E2279">
        <w:rPr>
          <w:rStyle w:val="Strong"/>
          <w:sz w:val="22"/>
          <w:szCs w:val="22"/>
          <w:lang w:val="en-GB"/>
        </w:rPr>
        <w:t>Programme</w:t>
      </w:r>
      <w:r w:rsidR="00A95184" w:rsidRPr="005E2279">
        <w:rPr>
          <w:rStyle w:val="Strong"/>
          <w:sz w:val="22"/>
          <w:szCs w:val="22"/>
          <w:lang w:val="en-GB"/>
        </w:rPr>
        <w:t xml:space="preserve"> title</w:t>
      </w:r>
    </w:p>
    <w:p w14:paraId="28D23693" w14:textId="0EC13AFD" w:rsidR="00A95184" w:rsidRPr="005E2279" w:rsidRDefault="005E2279" w:rsidP="00923CFE">
      <w:pPr>
        <w:pStyle w:val="PRAGHeading2"/>
        <w:numPr>
          <w:ilvl w:val="0"/>
          <w:numId w:val="0"/>
        </w:numPr>
        <w:ind w:left="709"/>
        <w:jc w:val="both"/>
        <w:rPr>
          <w:sz w:val="22"/>
          <w:szCs w:val="22"/>
          <w:lang w:val="en-GB"/>
        </w:rPr>
      </w:pPr>
      <w:r w:rsidRPr="005E2279">
        <w:rPr>
          <w:sz w:val="22"/>
          <w:szCs w:val="22"/>
          <w:lang w:val="en-GB"/>
        </w:rPr>
        <w:t>Interreg-IPA Cross – Border Cooperation Bulgaria-Turkey Programme 2014-2020, Second Call for project proposals No 2014TC16I5CB005-2018-2</w:t>
      </w:r>
    </w:p>
    <w:p w14:paraId="23846FA9" w14:textId="77777777" w:rsidR="002139C6" w:rsidRPr="005E2279" w:rsidRDefault="002139C6" w:rsidP="00923CFE">
      <w:pPr>
        <w:pStyle w:val="PRAGHeading2"/>
        <w:jc w:val="both"/>
        <w:rPr>
          <w:rStyle w:val="Strong"/>
          <w:sz w:val="22"/>
          <w:szCs w:val="22"/>
          <w:lang w:val="en-GB"/>
        </w:rPr>
      </w:pPr>
      <w:r w:rsidRPr="005E2279">
        <w:rPr>
          <w:rStyle w:val="Strong"/>
          <w:sz w:val="22"/>
          <w:szCs w:val="22"/>
          <w:lang w:val="en-GB"/>
        </w:rPr>
        <w:t>Financing</w:t>
      </w:r>
    </w:p>
    <w:p w14:paraId="2B1910A9" w14:textId="77777777" w:rsidR="005E2279" w:rsidRPr="005E2279" w:rsidRDefault="005E2279" w:rsidP="00923CFE">
      <w:pPr>
        <w:spacing w:before="240"/>
        <w:ind w:left="720"/>
        <w:jc w:val="both"/>
        <w:rPr>
          <w:sz w:val="22"/>
          <w:szCs w:val="22"/>
          <w:lang w:val="en-GB"/>
        </w:rPr>
      </w:pPr>
      <w:r w:rsidRPr="005E2279">
        <w:rPr>
          <w:sz w:val="22"/>
          <w:szCs w:val="22"/>
          <w:lang w:val="en-GB"/>
        </w:rPr>
        <w:t xml:space="preserve">The project is co-financed by the European Union, in accordance with the rules of Interreg-IPA Cross – Border Cooperation Bulgaria-Turkey Programme 2014-2020, Second Call for project proposals No 2014TC16I5CB005-2018-2. </w:t>
      </w:r>
    </w:p>
    <w:p w14:paraId="2ABC5A19" w14:textId="7BA0F2AA" w:rsidR="00D275AD" w:rsidRPr="005E2279" w:rsidRDefault="005E2279" w:rsidP="00923CFE">
      <w:pPr>
        <w:spacing w:before="240"/>
        <w:ind w:left="720"/>
        <w:jc w:val="both"/>
        <w:rPr>
          <w:sz w:val="22"/>
          <w:szCs w:val="22"/>
          <w:lang w:val="en-GB"/>
        </w:rPr>
      </w:pPr>
      <w:r w:rsidRPr="005E2279">
        <w:rPr>
          <w:sz w:val="22"/>
          <w:szCs w:val="22"/>
          <w:lang w:val="en-GB"/>
        </w:rPr>
        <w:t>The project is co-financed by the national budgets of the Republic of Bulgaria and the Republic of Turkey.</w:t>
      </w:r>
    </w:p>
    <w:p w14:paraId="2544FDA3" w14:textId="77777777" w:rsidR="002139C6" w:rsidRPr="005E2279" w:rsidRDefault="002139C6" w:rsidP="00923CFE">
      <w:pPr>
        <w:pStyle w:val="PRAGHeading2"/>
        <w:jc w:val="both"/>
        <w:rPr>
          <w:rStyle w:val="Strong"/>
          <w:sz w:val="22"/>
          <w:szCs w:val="22"/>
          <w:lang w:val="en-GB"/>
        </w:rPr>
      </w:pPr>
      <w:r w:rsidRPr="005E2279">
        <w:rPr>
          <w:rStyle w:val="Strong"/>
          <w:sz w:val="22"/>
          <w:szCs w:val="22"/>
          <w:lang w:val="en-GB"/>
        </w:rPr>
        <w:t xml:space="preserve">Contracting </w:t>
      </w:r>
      <w:r w:rsidR="00391F9F" w:rsidRPr="005E2279">
        <w:rPr>
          <w:rStyle w:val="Strong"/>
          <w:sz w:val="22"/>
          <w:szCs w:val="22"/>
          <w:lang w:val="en-GB"/>
        </w:rPr>
        <w:t>a</w:t>
      </w:r>
      <w:r w:rsidRPr="005E2279">
        <w:rPr>
          <w:rStyle w:val="Strong"/>
          <w:sz w:val="22"/>
          <w:szCs w:val="22"/>
          <w:lang w:val="en-GB"/>
        </w:rPr>
        <w:t>uthority</w:t>
      </w:r>
    </w:p>
    <w:p w14:paraId="59B0AFB1" w14:textId="5146B468" w:rsidR="005E2279" w:rsidRPr="005E2279" w:rsidRDefault="005E2279" w:rsidP="00923CFE">
      <w:pPr>
        <w:pStyle w:val="Blockquote"/>
        <w:ind w:left="709"/>
        <w:jc w:val="both"/>
        <w:rPr>
          <w:b/>
          <w:bCs/>
          <w:szCs w:val="24"/>
        </w:rPr>
      </w:pPr>
      <w:bookmarkStart w:id="2" w:name="_Hlk64964099"/>
      <w:bookmarkStart w:id="3" w:name="_Hlk64962525"/>
      <w:r w:rsidRPr="00F07E64">
        <w:rPr>
          <w:b/>
          <w:bCs/>
          <w:szCs w:val="24"/>
        </w:rPr>
        <w:t>ASSOCIATION "TOGETHER FOR SVILENGRAD"</w:t>
      </w:r>
    </w:p>
    <w:p w14:paraId="37563F90" w14:textId="6776C7D9" w:rsidR="006C703D" w:rsidRPr="005C6D8A" w:rsidRDefault="005C6D8A" w:rsidP="00923CFE">
      <w:pPr>
        <w:pStyle w:val="Blockquote"/>
        <w:ind w:left="720"/>
        <w:jc w:val="both"/>
        <w:rPr>
          <w:sz w:val="22"/>
          <w:szCs w:val="22"/>
          <w:lang w:val="en-GB"/>
        </w:rPr>
      </w:pPr>
      <w:bookmarkStart w:id="4" w:name="_Hlk64964107"/>
      <w:bookmarkEnd w:id="2"/>
      <w:r w:rsidRPr="005C6D8A">
        <w:rPr>
          <w:bCs/>
          <w:sz w:val="22"/>
          <w:szCs w:val="22"/>
          <w:lang w:val="en-GB"/>
        </w:rPr>
        <w:t>6 "</w:t>
      </w:r>
      <w:r w:rsidRPr="005C6D8A">
        <w:rPr>
          <w:bCs/>
          <w:sz w:val="22"/>
          <w:szCs w:val="22"/>
          <w:lang w:val="en-US"/>
        </w:rPr>
        <w:t>Septemvriytsi</w:t>
      </w:r>
      <w:r w:rsidRPr="005C6D8A">
        <w:rPr>
          <w:bCs/>
          <w:sz w:val="22"/>
          <w:szCs w:val="22"/>
          <w:lang w:val="en-GB"/>
        </w:rPr>
        <w:t xml:space="preserve">" Str., 6500 Svilengrad, Haskovo District, Bulgaria </w:t>
      </w:r>
      <w:bookmarkEnd w:id="3"/>
    </w:p>
    <w:bookmarkEnd w:id="4"/>
    <w:p w14:paraId="02D14458" w14:textId="77777777" w:rsidR="002139C6" w:rsidRPr="005E2279" w:rsidRDefault="00F839CB" w:rsidP="00923CFE">
      <w:pPr>
        <w:ind w:left="360"/>
        <w:jc w:val="center"/>
        <w:rPr>
          <w:rStyle w:val="Strong"/>
          <w:sz w:val="22"/>
          <w:szCs w:val="22"/>
          <w:lang w:val="en-GB"/>
        </w:rPr>
      </w:pPr>
      <w:r>
        <w:rPr>
          <w:b/>
          <w:snapToGrid/>
          <w:sz w:val="22"/>
          <w:szCs w:val="22"/>
          <w:lang w:val="en-GB" w:eastAsia="en-GB"/>
        </w:rPr>
        <w:pict w14:anchorId="21B042BE">
          <v:line id="_x0000_s1030" style="position:absolute;left:0;text-align:left;z-index:4" from="2.25pt,-.45pt" to="470.25pt,-.4pt" o:allowincell="f" strokecolor="#d4d4d4" strokeweight="1.75pt">
            <v:shadow on="t" origin=",32385f" offset="0,-1pt"/>
          </v:line>
        </w:pict>
      </w:r>
      <w:r w:rsidR="002139C6" w:rsidRPr="005E2279">
        <w:rPr>
          <w:rStyle w:val="Strong"/>
          <w:sz w:val="22"/>
          <w:szCs w:val="22"/>
          <w:lang w:val="en-GB"/>
        </w:rPr>
        <w:t>CONTRACT SPECIFICATIONS</w:t>
      </w:r>
    </w:p>
    <w:p w14:paraId="31378CF5" w14:textId="77777777" w:rsidR="00D62A71" w:rsidRPr="005E2279" w:rsidRDefault="00D62A71" w:rsidP="00923CFE">
      <w:pPr>
        <w:pStyle w:val="PRAGHeading2"/>
        <w:rPr>
          <w:rStyle w:val="Strong"/>
          <w:sz w:val="22"/>
          <w:szCs w:val="22"/>
          <w:lang w:val="en-GB"/>
        </w:rPr>
      </w:pPr>
      <w:r w:rsidRPr="005E2279">
        <w:rPr>
          <w:rStyle w:val="Strong"/>
          <w:sz w:val="22"/>
          <w:szCs w:val="22"/>
          <w:lang w:val="en-GB"/>
        </w:rPr>
        <w:t>Nature of contract</w:t>
      </w:r>
    </w:p>
    <w:p w14:paraId="3B275432" w14:textId="0E211E92" w:rsidR="00D62A71" w:rsidRPr="005E2279" w:rsidRDefault="00AD0BF2" w:rsidP="00923CFE">
      <w:pPr>
        <w:pStyle w:val="PRAGHeading2"/>
        <w:numPr>
          <w:ilvl w:val="0"/>
          <w:numId w:val="0"/>
        </w:numPr>
        <w:ind w:left="720"/>
        <w:rPr>
          <w:rStyle w:val="Strong"/>
          <w:b w:val="0"/>
          <w:sz w:val="22"/>
          <w:szCs w:val="22"/>
          <w:lang w:val="en-GB"/>
        </w:rPr>
      </w:pPr>
      <w:r w:rsidRPr="005E2279">
        <w:rPr>
          <w:rStyle w:val="Strong"/>
          <w:b w:val="0"/>
          <w:sz w:val="22"/>
          <w:szCs w:val="22"/>
          <w:lang w:val="en-GB"/>
        </w:rPr>
        <w:t>Lump-sum</w:t>
      </w:r>
    </w:p>
    <w:p w14:paraId="6ED5CDB0" w14:textId="77777777" w:rsidR="002139C6" w:rsidRPr="005E2279" w:rsidRDefault="002139C6" w:rsidP="00923CFE">
      <w:pPr>
        <w:pStyle w:val="PRAGHeading2"/>
        <w:rPr>
          <w:rStyle w:val="Strong"/>
          <w:sz w:val="22"/>
          <w:szCs w:val="22"/>
          <w:lang w:val="en-GB"/>
        </w:rPr>
      </w:pPr>
      <w:r w:rsidRPr="005E2279">
        <w:rPr>
          <w:rStyle w:val="Strong"/>
          <w:sz w:val="22"/>
          <w:szCs w:val="22"/>
          <w:lang w:val="en-GB"/>
        </w:rPr>
        <w:t>Description of the contract</w:t>
      </w:r>
    </w:p>
    <w:p w14:paraId="1B40DCBD" w14:textId="790BFC43" w:rsidR="00D62A71" w:rsidRPr="005E2279" w:rsidRDefault="00D0640B" w:rsidP="00D0640B">
      <w:pPr>
        <w:ind w:left="709"/>
        <w:jc w:val="both"/>
        <w:rPr>
          <w:sz w:val="22"/>
          <w:szCs w:val="22"/>
          <w:lang w:val="en-GB"/>
        </w:rPr>
      </w:pPr>
      <w:bookmarkStart w:id="5" w:name="_Hlk64964884"/>
      <w:r w:rsidRPr="00D0640B">
        <w:rPr>
          <w:sz w:val="22"/>
          <w:szCs w:val="22"/>
          <w:lang w:val="en-GB"/>
        </w:rPr>
        <w:t xml:space="preserve">The </w:t>
      </w:r>
      <w:r>
        <w:rPr>
          <w:sz w:val="22"/>
          <w:szCs w:val="22"/>
          <w:lang w:val="en-GB"/>
        </w:rPr>
        <w:t>contract</w:t>
      </w:r>
      <w:r w:rsidRPr="00D0640B">
        <w:rPr>
          <w:sz w:val="22"/>
          <w:szCs w:val="22"/>
          <w:lang w:val="en-GB"/>
        </w:rPr>
        <w:t xml:space="preserve"> envisages the development of the terrain, the construction of a walking path and recreation areas. The newly built walking path will be made of </w:t>
      </w:r>
      <w:r w:rsidRPr="005C6D8A">
        <w:rPr>
          <w:sz w:val="22"/>
          <w:szCs w:val="22"/>
          <w:lang w:val="en-GB"/>
        </w:rPr>
        <w:t>stamped concrete</w:t>
      </w:r>
      <w:r w:rsidRPr="00D0640B">
        <w:rPr>
          <w:sz w:val="22"/>
          <w:szCs w:val="22"/>
          <w:lang w:val="en-GB"/>
        </w:rPr>
        <w:t xml:space="preserve"> and will be accessible to </w:t>
      </w:r>
      <w:r w:rsidRPr="005C6D8A">
        <w:rPr>
          <w:sz w:val="22"/>
          <w:szCs w:val="22"/>
          <w:lang w:val="en-GB"/>
        </w:rPr>
        <w:t>disadvantaged people</w:t>
      </w:r>
      <w:r w:rsidRPr="00D0640B">
        <w:rPr>
          <w:sz w:val="22"/>
          <w:szCs w:val="22"/>
          <w:lang w:val="en-GB"/>
        </w:rPr>
        <w:t xml:space="preserve">, which will facilitate their access to the cultural and historical </w:t>
      </w:r>
      <w:r w:rsidRPr="00D0640B">
        <w:rPr>
          <w:sz w:val="22"/>
          <w:szCs w:val="22"/>
          <w:lang w:val="en-GB"/>
        </w:rPr>
        <w:lastRenderedPageBreak/>
        <w:t xml:space="preserve">monument. </w:t>
      </w:r>
      <w:r w:rsidRPr="005C6D8A">
        <w:rPr>
          <w:sz w:val="22"/>
          <w:szCs w:val="22"/>
          <w:lang w:val="en-GB"/>
        </w:rPr>
        <w:t>Planting</w:t>
      </w:r>
      <w:r w:rsidRPr="00D0640B">
        <w:rPr>
          <w:sz w:val="22"/>
          <w:szCs w:val="22"/>
          <w:lang w:val="en-GB"/>
        </w:rPr>
        <w:t xml:space="preserve"> of deciduous and coniferous trees and ornamental shrubs is planned. Winged species are provided for the </w:t>
      </w:r>
      <w:r w:rsidRPr="005C6D8A">
        <w:rPr>
          <w:sz w:val="22"/>
          <w:szCs w:val="22"/>
          <w:lang w:val="en-GB"/>
        </w:rPr>
        <w:t>pergolas</w:t>
      </w:r>
      <w:r w:rsidRPr="00D0640B">
        <w:rPr>
          <w:sz w:val="22"/>
          <w:szCs w:val="22"/>
          <w:lang w:val="en-GB"/>
        </w:rPr>
        <w:t xml:space="preserve"> of the recreation areas where benches will be installed. To ensure the comfort of the visitors, decorative vegetation is planted of the seating places. In order to ensure good conditions for the proper development of the grass and plants in the complex, an AI system will be installed to ensure an optimal water-air regime in the soil. Throughout the pedestrian zone will be built a parking light of metal halogen lamps mounted.</w:t>
      </w:r>
    </w:p>
    <w:bookmarkEnd w:id="5"/>
    <w:p w14:paraId="2261059F" w14:textId="77777777" w:rsidR="00B24E1F" w:rsidRPr="005E2279" w:rsidRDefault="00B24E1F" w:rsidP="00923CFE">
      <w:pPr>
        <w:pStyle w:val="PRAGHeading2"/>
        <w:rPr>
          <w:rStyle w:val="Strong"/>
          <w:sz w:val="22"/>
          <w:szCs w:val="22"/>
          <w:lang w:val="en-GB"/>
        </w:rPr>
      </w:pPr>
      <w:r w:rsidRPr="005E2279">
        <w:rPr>
          <w:rStyle w:val="Strong"/>
          <w:sz w:val="22"/>
          <w:szCs w:val="22"/>
          <w:lang w:val="en-GB"/>
        </w:rPr>
        <w:t>Provisional commencement date of the contract</w:t>
      </w:r>
    </w:p>
    <w:p w14:paraId="7F2158C2" w14:textId="32EC123D" w:rsidR="00B24E1F" w:rsidRPr="00902EF0" w:rsidRDefault="00287BD7" w:rsidP="00923CFE">
      <w:pPr>
        <w:ind w:left="709"/>
        <w:rPr>
          <w:sz w:val="22"/>
          <w:szCs w:val="22"/>
          <w:lang w:val="bg-BG"/>
        </w:rPr>
      </w:pPr>
      <w:r>
        <w:rPr>
          <w:sz w:val="22"/>
          <w:szCs w:val="22"/>
          <w:lang w:val="en-US"/>
        </w:rPr>
        <w:t>01</w:t>
      </w:r>
      <w:r>
        <w:rPr>
          <w:sz w:val="22"/>
          <w:szCs w:val="22"/>
          <w:lang w:val="bg-BG"/>
        </w:rPr>
        <w:t>.07</w:t>
      </w:r>
      <w:r w:rsidR="00902EF0">
        <w:rPr>
          <w:sz w:val="22"/>
          <w:szCs w:val="22"/>
          <w:lang w:val="bg-BG"/>
        </w:rPr>
        <w:t>.2021</w:t>
      </w:r>
    </w:p>
    <w:p w14:paraId="3D570CED" w14:textId="77777777" w:rsidR="002E09EF" w:rsidRPr="005E2279" w:rsidRDefault="002E09EF" w:rsidP="00923CFE">
      <w:pPr>
        <w:pStyle w:val="PRAGHeading2"/>
        <w:rPr>
          <w:rStyle w:val="Strong"/>
          <w:b w:val="0"/>
          <w:sz w:val="22"/>
          <w:szCs w:val="22"/>
          <w:lang w:val="en-GB"/>
        </w:rPr>
      </w:pPr>
      <w:r w:rsidRPr="008E7E00">
        <w:rPr>
          <w:rStyle w:val="Strong"/>
          <w:bCs/>
          <w:sz w:val="22"/>
          <w:szCs w:val="22"/>
          <w:lang w:val="en-GB"/>
        </w:rPr>
        <w:t>P</w:t>
      </w:r>
      <w:r w:rsidRPr="005E2279">
        <w:rPr>
          <w:b/>
          <w:sz w:val="22"/>
          <w:szCs w:val="22"/>
          <w:lang w:val="en-GB"/>
        </w:rPr>
        <w:t>eriod of implementation of tasks</w:t>
      </w:r>
    </w:p>
    <w:p w14:paraId="0C23AE16" w14:textId="11AA3B8A" w:rsidR="00B24E1F" w:rsidRPr="002B3ADA" w:rsidRDefault="00D0640B" w:rsidP="002B3ADA">
      <w:pPr>
        <w:pStyle w:val="PRAGHeading2"/>
        <w:numPr>
          <w:ilvl w:val="0"/>
          <w:numId w:val="0"/>
        </w:numPr>
        <w:ind w:left="709"/>
        <w:jc w:val="both"/>
        <w:rPr>
          <w:sz w:val="22"/>
          <w:szCs w:val="18"/>
          <w:lang w:val="bg-BG"/>
        </w:rPr>
      </w:pPr>
      <w:bookmarkStart w:id="6" w:name="_Hlk50455466"/>
      <w:bookmarkStart w:id="7" w:name="_Hlk64967600"/>
      <w:r w:rsidRPr="00D0640B">
        <w:rPr>
          <w:sz w:val="22"/>
          <w:szCs w:val="18"/>
          <w:lang w:val="en-GB"/>
        </w:rPr>
        <w:t xml:space="preserve">The period of implementation of tasks shall be </w:t>
      </w:r>
      <w:r w:rsidR="00326060" w:rsidRPr="00326060">
        <w:rPr>
          <w:sz w:val="22"/>
          <w:szCs w:val="18"/>
          <w:lang w:val="en-US"/>
        </w:rPr>
        <w:t>11</w:t>
      </w:r>
      <w:r w:rsidR="002B3ADA" w:rsidRPr="00326060">
        <w:rPr>
          <w:sz w:val="22"/>
          <w:szCs w:val="18"/>
          <w:lang w:val="bg-BG"/>
        </w:rPr>
        <w:t xml:space="preserve"> </w:t>
      </w:r>
      <w:r w:rsidRPr="00326060">
        <w:rPr>
          <w:sz w:val="22"/>
          <w:szCs w:val="18"/>
          <w:lang w:val="en-GB"/>
        </w:rPr>
        <w:t xml:space="preserve">months </w:t>
      </w:r>
      <w:r w:rsidRPr="00D0640B">
        <w:rPr>
          <w:sz w:val="22"/>
          <w:szCs w:val="18"/>
          <w:lang w:val="en-GB"/>
        </w:rPr>
        <w:t xml:space="preserve">from the issuing of contract, </w:t>
      </w:r>
      <w:r w:rsidRPr="00902EF0">
        <w:rPr>
          <w:sz w:val="22"/>
          <w:szCs w:val="18"/>
          <w:lang w:val="en-GB"/>
        </w:rPr>
        <w:t xml:space="preserve">provision of access to the sites of construction (with protocol for opening a construction site and for determining the construction line and level </w:t>
      </w:r>
      <w:r w:rsidRPr="00D0640B">
        <w:rPr>
          <w:sz w:val="22"/>
          <w:szCs w:val="18"/>
          <w:lang w:val="en-GB"/>
        </w:rPr>
        <w:t xml:space="preserve">as per Ordinance № 3 of 31 July 2003 on drawing up acts and protocols during the construction) and the provision of necessary construction documentation and permissions mentioned in Article 8.1 of </w:t>
      </w:r>
      <w:r w:rsidR="002B3ADA">
        <w:rPr>
          <w:sz w:val="22"/>
          <w:szCs w:val="18"/>
          <w:lang w:val="en-GB"/>
        </w:rPr>
        <w:t>the</w:t>
      </w:r>
      <w:r w:rsidR="002B3ADA">
        <w:rPr>
          <w:sz w:val="22"/>
          <w:szCs w:val="18"/>
          <w:lang w:val="bg-BG"/>
        </w:rPr>
        <w:t xml:space="preserve"> </w:t>
      </w:r>
      <w:r w:rsidRPr="00D0640B">
        <w:rPr>
          <w:sz w:val="22"/>
          <w:szCs w:val="18"/>
          <w:lang w:val="en-GB"/>
        </w:rPr>
        <w:t xml:space="preserve">Special conditions </w:t>
      </w:r>
      <w:r w:rsidRPr="00E25B17">
        <w:rPr>
          <w:sz w:val="22"/>
          <w:szCs w:val="18"/>
          <w:lang w:val="en-GB"/>
        </w:rPr>
        <w:t>until the provisional acceptance (with Statement of findings for establishing the suitability for acceptance of the construction (Annex № 15) ) as per Ordinance № 3 of 31 July 2003 on drawing up acts and protocols during the construction) without prejudice to extensions of the period which may be granted under Article 35 of the General Conditions</w:t>
      </w:r>
      <w:r w:rsidR="002B3ADA" w:rsidRPr="00E25B17">
        <w:rPr>
          <w:sz w:val="22"/>
          <w:szCs w:val="18"/>
          <w:lang w:val="en-GB"/>
        </w:rPr>
        <w:t xml:space="preserve">, but not later than </w:t>
      </w:r>
      <w:r w:rsidR="00902EF0" w:rsidRPr="00E25B17">
        <w:rPr>
          <w:sz w:val="22"/>
          <w:szCs w:val="18"/>
          <w:lang w:val="en-GB"/>
        </w:rPr>
        <w:t>25.09.2022 which is the end date of project CB005.2.21.081</w:t>
      </w:r>
      <w:r w:rsidR="002B3ADA" w:rsidRPr="00E25B17">
        <w:rPr>
          <w:sz w:val="22"/>
          <w:szCs w:val="18"/>
          <w:lang w:val="en-GB"/>
        </w:rPr>
        <w:t xml:space="preserve"> or the new end date of the project in case of its prolongation</w:t>
      </w:r>
      <w:r w:rsidRPr="00E25B17">
        <w:rPr>
          <w:sz w:val="22"/>
          <w:szCs w:val="18"/>
          <w:lang w:val="en-GB"/>
        </w:rPr>
        <w:t>.</w:t>
      </w:r>
      <w:r w:rsidRPr="00D0640B">
        <w:rPr>
          <w:sz w:val="22"/>
          <w:szCs w:val="18"/>
          <w:lang w:val="en-GB"/>
        </w:rPr>
        <w:t xml:space="preserve"> </w:t>
      </w:r>
      <w:bookmarkEnd w:id="6"/>
    </w:p>
    <w:bookmarkEnd w:id="7"/>
    <w:p w14:paraId="4FDA30F9" w14:textId="77777777" w:rsidR="002139C6" w:rsidRPr="005E2279" w:rsidRDefault="00F839CB" w:rsidP="00923CFE">
      <w:pPr>
        <w:ind w:left="360"/>
        <w:jc w:val="center"/>
        <w:rPr>
          <w:rStyle w:val="Strong"/>
          <w:sz w:val="22"/>
          <w:szCs w:val="22"/>
          <w:lang w:val="en-GB"/>
        </w:rPr>
      </w:pPr>
      <w:r>
        <w:rPr>
          <w:b/>
          <w:snapToGrid/>
          <w:sz w:val="22"/>
          <w:szCs w:val="22"/>
          <w:lang w:val="en-GB" w:eastAsia="en-GB"/>
        </w:rPr>
        <w:pict w14:anchorId="01FD448D">
          <v:line id="_x0000_s1029" style="position:absolute;left:0;text-align:left;z-index:3" from="2.25pt,.9pt" to="470.25pt,.95pt" o:allowincell="f" strokecolor="#d4d4d4" strokeweight="1.75pt">
            <v:shadow on="t" origin=",32385f" offset="0,-1pt"/>
          </v:line>
        </w:pict>
      </w:r>
      <w:r w:rsidR="002139C6" w:rsidRPr="005E2279">
        <w:rPr>
          <w:rStyle w:val="Strong"/>
          <w:sz w:val="22"/>
          <w:szCs w:val="22"/>
          <w:lang w:val="en-GB"/>
        </w:rPr>
        <w:t>TERMS OF PARTICIPATION</w:t>
      </w:r>
    </w:p>
    <w:p w14:paraId="00959608" w14:textId="77777777" w:rsidR="002139C6" w:rsidRPr="005E2279" w:rsidRDefault="002139C6" w:rsidP="00923CFE">
      <w:pPr>
        <w:pStyle w:val="PRAGHeading2"/>
        <w:rPr>
          <w:rStyle w:val="Strong"/>
          <w:sz w:val="22"/>
          <w:szCs w:val="22"/>
          <w:lang w:val="en-GB"/>
        </w:rPr>
      </w:pPr>
      <w:r w:rsidRPr="005E2279">
        <w:rPr>
          <w:rStyle w:val="Strong"/>
          <w:sz w:val="22"/>
          <w:szCs w:val="22"/>
          <w:lang w:val="en-GB"/>
        </w:rPr>
        <w:t>Eligibility and rules of origin</w:t>
      </w:r>
    </w:p>
    <w:p w14:paraId="684E1F71" w14:textId="77777777" w:rsidR="008C2210" w:rsidRDefault="008C2210" w:rsidP="00586A47">
      <w:pPr>
        <w:pStyle w:val="PRAGHeading2"/>
        <w:numPr>
          <w:ilvl w:val="0"/>
          <w:numId w:val="0"/>
        </w:numPr>
        <w:ind w:left="709"/>
        <w:jc w:val="both"/>
        <w:rPr>
          <w:lang w:val="en-GB"/>
        </w:rPr>
      </w:pPr>
      <w:r w:rsidRPr="008205A6">
        <w:rPr>
          <w:lang w:val="en-GB"/>
        </w:rPr>
        <w:t>Participation in this tender procedure is open not only to the invited tenderers.</w:t>
      </w:r>
    </w:p>
    <w:p w14:paraId="1819316E" w14:textId="77777777" w:rsidR="008C2210" w:rsidRPr="00C46295" w:rsidRDefault="008C2210" w:rsidP="00586A47">
      <w:pPr>
        <w:pStyle w:val="PRAGHeading2"/>
        <w:numPr>
          <w:ilvl w:val="0"/>
          <w:numId w:val="0"/>
        </w:numPr>
        <w:ind w:left="709"/>
        <w:jc w:val="both"/>
        <w:rPr>
          <w:lang w:val="en-GB"/>
        </w:rPr>
      </w:pPr>
      <w:r w:rsidRPr="00D275AD">
        <w:rPr>
          <w:lang w:val="en-GB"/>
        </w:rPr>
        <w:t xml:space="preserve">Participation is open to all </w:t>
      </w:r>
      <w:r w:rsidRPr="00D275AD">
        <w:rPr>
          <w:rFonts w:eastAsia="Calibri" w:cs="Arial"/>
          <w:lang w:val="en-GB"/>
        </w:rPr>
        <w:t xml:space="preserve">natural persons who are nationals of and </w:t>
      </w:r>
      <w:r>
        <w:rPr>
          <w:lang w:val="en-GB"/>
        </w:rPr>
        <w:t xml:space="preserve">legal persons </w:t>
      </w:r>
      <w:r w:rsidRPr="00D275AD">
        <w:rPr>
          <w:lang w:val="en-GB"/>
        </w:rPr>
        <w:t>participating either individually or in a gro</w:t>
      </w:r>
      <w:r>
        <w:rPr>
          <w:lang w:val="en-GB"/>
        </w:rPr>
        <w:t>uping (consortium) of tenderers</w:t>
      </w:r>
      <w:r w:rsidRPr="00D275AD">
        <w:rPr>
          <w:lang w:val="en-GB"/>
        </w:rPr>
        <w:t xml:space="preserve"> which are effectively established in a  Member State of the European Union or in a eligible country or territory  as defined under </w:t>
      </w:r>
      <w:r w:rsidRPr="00D275AD">
        <w:rPr>
          <w:rFonts w:eastAsia="Calibri" w:cs="Arial"/>
          <w:bCs/>
          <w:snapToGrid/>
          <w:lang w:val="en-GB"/>
        </w:rPr>
        <w:t xml:space="preserve">the Regulation </w:t>
      </w:r>
      <w:r w:rsidRPr="00D275AD">
        <w:rPr>
          <w:lang w:val="en-GB"/>
        </w:rPr>
        <w:t xml:space="preserve">(EU) </w:t>
      </w:r>
      <w:r>
        <w:rPr>
          <w:lang w:val="en-GB"/>
        </w:rPr>
        <w:t>No </w:t>
      </w:r>
      <w:r w:rsidRPr="00D275AD">
        <w:rPr>
          <w:rFonts w:eastAsia="MS Mincho"/>
          <w:noProof/>
          <w:lang w:val="en-GB" w:eastAsia="ja-JP"/>
        </w:rPr>
        <w:t xml:space="preserve">236/2014 </w:t>
      </w:r>
      <w:r w:rsidRPr="00D275AD">
        <w:rPr>
          <w:rFonts w:eastAsia="Calibri" w:cs="Arial"/>
          <w:bCs/>
          <w:snapToGrid/>
          <w:lang w:val="en-GB"/>
        </w:rPr>
        <w:t xml:space="preserve">establishing common rules and procedures for the implementation of the Union's </w:t>
      </w:r>
      <w:r w:rsidRPr="00DD6316">
        <w:rPr>
          <w:rFonts w:eastAsia="Calibri" w:cs="Arial"/>
          <w:bCs/>
          <w:snapToGrid/>
          <w:lang w:val="en-GB"/>
        </w:rPr>
        <w:t xml:space="preserve">instruments for external action (CIR) </w:t>
      </w:r>
      <w:r w:rsidRPr="00DD6316">
        <w:rPr>
          <w:lang w:val="en-GB"/>
        </w:rPr>
        <w:t>for the applicable Instrument under which the contract is financed (see also heading 17 below)</w:t>
      </w:r>
      <w:r w:rsidRPr="00DD6316">
        <w:rPr>
          <w:rFonts w:eastAsia="Calibri" w:cs="Arial"/>
          <w:lang w:val="en-GB"/>
        </w:rPr>
        <w:t xml:space="preserve">. </w:t>
      </w:r>
      <w:r w:rsidRPr="00DD6316">
        <w:rPr>
          <w:lang w:val="en-GB"/>
        </w:rPr>
        <w:t xml:space="preserve">Participation is also open to international organisations. All goods purchased under the </w:t>
      </w:r>
      <w:r>
        <w:rPr>
          <w:lang w:val="en-GB"/>
        </w:rPr>
        <w:t>c</w:t>
      </w:r>
      <w:r w:rsidRPr="00DD6316">
        <w:rPr>
          <w:lang w:val="en-GB"/>
        </w:rPr>
        <w:t xml:space="preserve">ontract must originate </w:t>
      </w:r>
      <w:r>
        <w:rPr>
          <w:lang w:val="en-GB"/>
        </w:rPr>
        <w:t xml:space="preserve">from </w:t>
      </w:r>
      <w:r w:rsidRPr="00DD6316">
        <w:rPr>
          <w:lang w:val="en-GB"/>
        </w:rPr>
        <w:t>a</w:t>
      </w:r>
      <w:r>
        <w:rPr>
          <w:lang w:val="en-GB"/>
        </w:rPr>
        <w:t>n</w:t>
      </w:r>
      <w:r w:rsidRPr="00DD6316">
        <w:rPr>
          <w:lang w:val="en-GB"/>
        </w:rPr>
        <w:t xml:space="preserve"> eligible source country as defined </w:t>
      </w:r>
      <w:r>
        <w:rPr>
          <w:lang w:val="en-GB"/>
        </w:rPr>
        <w:t>above</w:t>
      </w:r>
      <w:r w:rsidRPr="00DD6316">
        <w:rPr>
          <w:lang w:val="en-GB"/>
        </w:rPr>
        <w:t xml:space="preserve">. However, the goods to be purchased may originate from any country, whenever the total price of the estimated quantity of those goods, as reflected in a separate item of the </w:t>
      </w:r>
      <w:r>
        <w:rPr>
          <w:lang w:val="en-GB"/>
        </w:rPr>
        <w:t>b</w:t>
      </w:r>
      <w:r w:rsidRPr="00DD6316">
        <w:rPr>
          <w:lang w:val="en-GB"/>
        </w:rPr>
        <w:t xml:space="preserve">reakdown of the </w:t>
      </w:r>
      <w:r>
        <w:rPr>
          <w:lang w:val="en-GB"/>
        </w:rPr>
        <w:t>l</w:t>
      </w:r>
      <w:r w:rsidRPr="00DD6316">
        <w:rPr>
          <w:lang w:val="en-GB"/>
        </w:rPr>
        <w:t xml:space="preserve">ump-sum </w:t>
      </w:r>
      <w:r>
        <w:rPr>
          <w:lang w:val="en-GB"/>
        </w:rPr>
        <w:t>p</w:t>
      </w:r>
      <w:r w:rsidRPr="00DD6316">
        <w:rPr>
          <w:lang w:val="en-GB"/>
        </w:rPr>
        <w:t xml:space="preserve">rice (Volume 4.2.3) is below </w:t>
      </w:r>
      <w:r>
        <w:rPr>
          <w:lang w:val="en-GB"/>
        </w:rPr>
        <w:t>EUR </w:t>
      </w:r>
      <w:r w:rsidRPr="00DD6316">
        <w:rPr>
          <w:lang w:val="en-GB"/>
        </w:rPr>
        <w:t>100</w:t>
      </w:r>
      <w:r>
        <w:rPr>
          <w:lang w:val="en-GB"/>
        </w:rPr>
        <w:t> </w:t>
      </w:r>
      <w:r w:rsidRPr="00DD6316">
        <w:rPr>
          <w:lang w:val="en-GB"/>
        </w:rPr>
        <w:t xml:space="preserve">000. </w:t>
      </w:r>
    </w:p>
    <w:p w14:paraId="198A1AB6" w14:textId="77777777" w:rsidR="008C2210" w:rsidRPr="00132A6F" w:rsidRDefault="008C2210" w:rsidP="00586A47">
      <w:pPr>
        <w:pStyle w:val="PRAGHeading2"/>
        <w:numPr>
          <w:ilvl w:val="0"/>
          <w:numId w:val="0"/>
        </w:numPr>
        <w:ind w:left="709"/>
        <w:jc w:val="both"/>
        <w:rPr>
          <w:lang w:val="en-IE"/>
        </w:rPr>
      </w:pPr>
      <w:r w:rsidRPr="00132A6F">
        <w:rPr>
          <w:lang w:val="en-IE"/>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w:t>
      </w:r>
      <w:r w:rsidRPr="00132A6F">
        <w:rPr>
          <w:lang w:val="en-IE"/>
        </w:rPr>
        <w:lastRenderedPageBreak/>
        <w:t xml:space="preserve">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622F721C" w14:textId="77777777" w:rsidR="008C2210" w:rsidRPr="00923CFE" w:rsidRDefault="008C2210" w:rsidP="00586A47">
      <w:pPr>
        <w:pStyle w:val="PRAGHeading2"/>
        <w:numPr>
          <w:ilvl w:val="0"/>
          <w:numId w:val="0"/>
        </w:numPr>
        <w:ind w:left="709"/>
        <w:jc w:val="both"/>
        <w:rPr>
          <w:sz w:val="22"/>
          <w:szCs w:val="18"/>
          <w:lang w:val="en-IE"/>
        </w:rPr>
      </w:pPr>
      <w:r w:rsidRPr="00923CFE">
        <w:rPr>
          <w:sz w:val="22"/>
          <w:szCs w:val="18"/>
          <w:lang w:val="en-IE"/>
        </w:rPr>
        <w:t>* Agreement on the withdrawal of the United Kingdom of Great Britain and Northern Ireland from the European Union and the European Atomic Energy Community.</w:t>
      </w:r>
    </w:p>
    <w:p w14:paraId="51398CA3" w14:textId="77777777" w:rsidR="008C2210" w:rsidRPr="00923CFE" w:rsidRDefault="008C2210" w:rsidP="00586A47">
      <w:pPr>
        <w:pStyle w:val="PRAGHeading2"/>
        <w:numPr>
          <w:ilvl w:val="0"/>
          <w:numId w:val="0"/>
        </w:numPr>
        <w:ind w:left="709"/>
        <w:jc w:val="both"/>
        <w:rPr>
          <w:sz w:val="22"/>
          <w:szCs w:val="18"/>
          <w:lang w:val="en-IE"/>
        </w:rPr>
      </w:pPr>
      <w:r w:rsidRPr="00923CFE">
        <w:rPr>
          <w:sz w:val="22"/>
          <w:szCs w:val="18"/>
          <w:lang w:val="en-IE"/>
        </w:rPr>
        <w:t>** Regulation (EU) No 236/2014 of the European Parliament and of the Council of 11 March 2014 laying down common rules and procedures for the implementation of the Union's instruments for financing external action.</w:t>
      </w:r>
    </w:p>
    <w:p w14:paraId="27D53BB5" w14:textId="77777777" w:rsidR="008C2210" w:rsidRPr="00923CFE" w:rsidRDefault="008C2210" w:rsidP="00586A47">
      <w:pPr>
        <w:pStyle w:val="PRAGHeading2"/>
        <w:numPr>
          <w:ilvl w:val="0"/>
          <w:numId w:val="0"/>
        </w:numPr>
        <w:ind w:left="709"/>
        <w:jc w:val="both"/>
        <w:rPr>
          <w:sz w:val="22"/>
          <w:szCs w:val="18"/>
          <w:lang w:val="en-IE"/>
        </w:rPr>
      </w:pPr>
      <w:r w:rsidRPr="00923CFE">
        <w:rPr>
          <w:sz w:val="22"/>
          <w:szCs w:val="18"/>
          <w:lang w:val="en-IE"/>
        </w:rPr>
        <w:t>*** Annex IV to the ACP-EU Partnership Agreement, as revised by Decision 1/2014 of the ACP-EU Council of Ministers (OJ L196/40, 3.7.2014)</w:t>
      </w:r>
    </w:p>
    <w:p w14:paraId="603E5285" w14:textId="60498DBE" w:rsidR="00E267BD" w:rsidRPr="00923CFE" w:rsidRDefault="008C2210" w:rsidP="00586A47">
      <w:pPr>
        <w:pStyle w:val="PRAGHeading2"/>
        <w:numPr>
          <w:ilvl w:val="0"/>
          <w:numId w:val="0"/>
        </w:numPr>
        <w:ind w:left="709"/>
        <w:jc w:val="both"/>
        <w:rPr>
          <w:rFonts w:eastAsia="Calibri"/>
          <w:sz w:val="22"/>
          <w:szCs w:val="18"/>
          <w:lang w:val="en-IE" w:eastAsia="fr-BE"/>
        </w:rPr>
      </w:pPr>
      <w:r w:rsidRPr="00923CFE">
        <w:rPr>
          <w:sz w:val="22"/>
          <w:szCs w:val="18"/>
          <w:lang w:val="en-IE"/>
        </w:rPr>
        <w:t>**** including the Overseas Countries and Territories having special relations with the United Kingdom, as laid down in Part Four and Annex II of the TFEU</w:t>
      </w:r>
      <w:r w:rsidRPr="00923CFE">
        <w:rPr>
          <w:sz w:val="22"/>
          <w:szCs w:val="18"/>
          <w:lang w:val="bg-BG"/>
        </w:rPr>
        <w:t>.</w:t>
      </w:r>
    </w:p>
    <w:p w14:paraId="51F0A14A" w14:textId="77777777" w:rsidR="002139C6" w:rsidRPr="005E2279" w:rsidRDefault="00B24E1F" w:rsidP="00923CFE">
      <w:pPr>
        <w:pStyle w:val="PRAGHeading2"/>
        <w:keepNext/>
        <w:keepLines/>
        <w:jc w:val="both"/>
        <w:rPr>
          <w:rStyle w:val="Strong"/>
          <w:sz w:val="22"/>
          <w:szCs w:val="22"/>
          <w:lang w:val="en-GB"/>
        </w:rPr>
      </w:pPr>
      <w:r w:rsidRPr="005E2279">
        <w:rPr>
          <w:rStyle w:val="Strong"/>
          <w:sz w:val="22"/>
          <w:szCs w:val="22"/>
          <w:lang w:val="en-GB"/>
        </w:rPr>
        <w:t>Subcontracting</w:t>
      </w:r>
    </w:p>
    <w:p w14:paraId="404F237A" w14:textId="192910F2" w:rsidR="008C2210" w:rsidRDefault="00B24E1F" w:rsidP="00586A47">
      <w:pPr>
        <w:pStyle w:val="PRAGHeading2"/>
        <w:numPr>
          <w:ilvl w:val="0"/>
          <w:numId w:val="0"/>
        </w:numPr>
        <w:ind w:left="709"/>
        <w:jc w:val="both"/>
        <w:rPr>
          <w:sz w:val="22"/>
          <w:szCs w:val="22"/>
          <w:lang w:val="en-GB"/>
        </w:rPr>
      </w:pPr>
      <w:r w:rsidRPr="005E2279">
        <w:rPr>
          <w:rStyle w:val="Strong"/>
          <w:b w:val="0"/>
          <w:sz w:val="22"/>
          <w:szCs w:val="22"/>
          <w:lang w:val="en-GB"/>
        </w:rPr>
        <w:t>Subcontracting is allowed.</w:t>
      </w:r>
    </w:p>
    <w:p w14:paraId="1F066432" w14:textId="35B6C923" w:rsidR="00B24E1F" w:rsidRPr="005E2279" w:rsidRDefault="00BD63A4" w:rsidP="00586A47">
      <w:pPr>
        <w:pStyle w:val="PRAGHeading2"/>
        <w:numPr>
          <w:ilvl w:val="0"/>
          <w:numId w:val="0"/>
        </w:numPr>
        <w:ind w:left="709"/>
        <w:jc w:val="both"/>
        <w:rPr>
          <w:rStyle w:val="Strong"/>
          <w:sz w:val="22"/>
          <w:szCs w:val="22"/>
          <w:lang w:val="en-GB"/>
        </w:rPr>
      </w:pPr>
      <w:r w:rsidRPr="005E2279">
        <w:rPr>
          <w:sz w:val="22"/>
          <w:szCs w:val="22"/>
          <w:lang w:val="en-GB"/>
        </w:rPr>
        <w:t>Subcontractors</w:t>
      </w:r>
      <w:r w:rsidR="00072A47" w:rsidRPr="005E2279">
        <w:rPr>
          <w:sz w:val="22"/>
          <w:szCs w:val="22"/>
          <w:lang w:val="en-GB"/>
        </w:rPr>
        <w:t>, s</w:t>
      </w:r>
      <w:r w:rsidRPr="005E2279">
        <w:rPr>
          <w:sz w:val="22"/>
          <w:szCs w:val="22"/>
          <w:lang w:val="en-GB"/>
        </w:rPr>
        <w:t xml:space="preserve">uppliers </w:t>
      </w:r>
      <w:r w:rsidR="00072A47" w:rsidRPr="005E2279">
        <w:rPr>
          <w:sz w:val="22"/>
          <w:szCs w:val="22"/>
          <w:lang w:val="en-GB"/>
        </w:rPr>
        <w:t xml:space="preserve">and entities upon whose capacity the tenderer relies for the selection criteria, </w:t>
      </w:r>
      <w:r w:rsidRPr="005E2279">
        <w:rPr>
          <w:sz w:val="22"/>
          <w:szCs w:val="22"/>
          <w:lang w:val="en-GB"/>
        </w:rPr>
        <w:t xml:space="preserve">must be eligible in respect of the rules on nationality and origin for the financing programme detailed in Section </w:t>
      </w:r>
      <w:r w:rsidR="00AD0BF2" w:rsidRPr="005E2279">
        <w:rPr>
          <w:sz w:val="22"/>
          <w:szCs w:val="22"/>
          <w:lang w:val="en-GB"/>
        </w:rPr>
        <w:t>10</w:t>
      </w:r>
      <w:r w:rsidRPr="005E2279">
        <w:rPr>
          <w:sz w:val="22"/>
          <w:szCs w:val="22"/>
          <w:lang w:val="en-GB"/>
        </w:rPr>
        <w:t xml:space="preserve"> above.</w:t>
      </w:r>
    </w:p>
    <w:p w14:paraId="533E9F57" w14:textId="77777777" w:rsidR="00B24E1F" w:rsidRPr="005E2279" w:rsidRDefault="00B24E1F" w:rsidP="00923CFE">
      <w:pPr>
        <w:pStyle w:val="PRAGHeading2"/>
        <w:jc w:val="both"/>
        <w:rPr>
          <w:rStyle w:val="Strong"/>
          <w:sz w:val="22"/>
          <w:szCs w:val="22"/>
          <w:lang w:val="en-GB"/>
        </w:rPr>
      </w:pPr>
      <w:r w:rsidRPr="005E2279">
        <w:rPr>
          <w:rStyle w:val="Strong"/>
          <w:sz w:val="22"/>
          <w:szCs w:val="22"/>
          <w:lang w:val="en-GB"/>
        </w:rPr>
        <w:t>Grounds for exclusion</w:t>
      </w:r>
    </w:p>
    <w:p w14:paraId="2473A9E5" w14:textId="77777777" w:rsidR="003720EC" w:rsidRPr="005E2279" w:rsidRDefault="003720EC" w:rsidP="00586A47">
      <w:pPr>
        <w:pStyle w:val="PRAGHeading2"/>
        <w:numPr>
          <w:ilvl w:val="0"/>
          <w:numId w:val="0"/>
        </w:numPr>
        <w:ind w:left="709"/>
        <w:jc w:val="both"/>
        <w:rPr>
          <w:sz w:val="22"/>
          <w:szCs w:val="22"/>
          <w:lang w:val="en-GB"/>
        </w:rPr>
      </w:pPr>
      <w:r w:rsidRPr="005E2279">
        <w:rPr>
          <w:sz w:val="22"/>
          <w:szCs w:val="22"/>
          <w:lang w:val="en-GB"/>
        </w:rPr>
        <w:t xml:space="preserve">Natural persons, companies or undertakings falling into a situation set out in </w:t>
      </w:r>
      <w:r w:rsidR="00921394" w:rsidRPr="005E2279">
        <w:rPr>
          <w:sz w:val="22"/>
          <w:szCs w:val="22"/>
          <w:lang w:val="en-GB"/>
        </w:rPr>
        <w:t>S</w:t>
      </w:r>
      <w:r w:rsidRPr="005E2279">
        <w:rPr>
          <w:sz w:val="22"/>
          <w:szCs w:val="22"/>
          <w:lang w:val="en-GB"/>
        </w:rPr>
        <w:t xml:space="preserve">ection </w:t>
      </w:r>
      <w:r w:rsidR="00725D52" w:rsidRPr="005E2279">
        <w:rPr>
          <w:sz w:val="22"/>
          <w:szCs w:val="22"/>
          <w:lang w:val="en-GB"/>
        </w:rPr>
        <w:t>2.6.10.1.1.</w:t>
      </w:r>
      <w:r w:rsidRPr="005E2279">
        <w:rPr>
          <w:sz w:val="22"/>
          <w:szCs w:val="22"/>
          <w:lang w:val="en-GB"/>
        </w:rPr>
        <w:t xml:space="preserve"> (</w:t>
      </w:r>
      <w:r w:rsidR="00725D52" w:rsidRPr="005E2279">
        <w:rPr>
          <w:sz w:val="22"/>
          <w:szCs w:val="22"/>
          <w:lang w:val="en-GB"/>
        </w:rPr>
        <w:t>‘</w:t>
      </w:r>
      <w:r w:rsidRPr="005E2279">
        <w:rPr>
          <w:sz w:val="22"/>
          <w:szCs w:val="22"/>
          <w:lang w:val="en-GB"/>
        </w:rPr>
        <w:t>exclusion from participation in procurement procedures</w:t>
      </w:r>
      <w:r w:rsidR="00725D52" w:rsidRPr="005E2279">
        <w:rPr>
          <w:sz w:val="22"/>
          <w:szCs w:val="22"/>
          <w:lang w:val="en-GB"/>
        </w:rPr>
        <w:t>’</w:t>
      </w:r>
      <w:r w:rsidRPr="005E2279">
        <w:rPr>
          <w:sz w:val="22"/>
          <w:szCs w:val="22"/>
          <w:lang w:val="en-GB"/>
        </w:rPr>
        <w:t xml:space="preserve">) and </w:t>
      </w:r>
      <w:r w:rsidR="00921394" w:rsidRPr="005E2279">
        <w:rPr>
          <w:sz w:val="22"/>
          <w:szCs w:val="22"/>
          <w:lang w:val="en-GB"/>
        </w:rPr>
        <w:t>S</w:t>
      </w:r>
      <w:r w:rsidRPr="005E2279">
        <w:rPr>
          <w:sz w:val="22"/>
          <w:szCs w:val="22"/>
          <w:lang w:val="en-GB"/>
        </w:rPr>
        <w:t xml:space="preserve">ection </w:t>
      </w:r>
      <w:r w:rsidR="00725D52" w:rsidRPr="005E2279">
        <w:rPr>
          <w:sz w:val="22"/>
          <w:szCs w:val="22"/>
          <w:lang w:val="en-GB"/>
        </w:rPr>
        <w:t>2.6.10.1.2.</w:t>
      </w:r>
      <w:r w:rsidRPr="005E2279">
        <w:rPr>
          <w:sz w:val="22"/>
          <w:szCs w:val="22"/>
          <w:lang w:val="en-GB"/>
        </w:rPr>
        <w:t xml:space="preserve"> (</w:t>
      </w:r>
      <w:r w:rsidR="00725D52" w:rsidRPr="005E2279">
        <w:rPr>
          <w:sz w:val="22"/>
          <w:szCs w:val="22"/>
          <w:lang w:val="en-GB"/>
        </w:rPr>
        <w:t>‘</w:t>
      </w:r>
      <w:r w:rsidRPr="005E2279">
        <w:rPr>
          <w:sz w:val="22"/>
          <w:szCs w:val="22"/>
          <w:lang w:val="en-GB"/>
        </w:rPr>
        <w:t>rejection from a given procedure</w:t>
      </w:r>
      <w:r w:rsidR="00725D52" w:rsidRPr="005E2279">
        <w:rPr>
          <w:sz w:val="22"/>
          <w:szCs w:val="22"/>
          <w:lang w:val="en-GB"/>
        </w:rPr>
        <w:t>’</w:t>
      </w:r>
      <w:r w:rsidRPr="005E2279">
        <w:rPr>
          <w:sz w:val="22"/>
          <w:szCs w:val="22"/>
          <w:lang w:val="en-GB"/>
        </w:rPr>
        <w:t xml:space="preserve">) of the </w:t>
      </w:r>
      <w:r w:rsidR="00725D52" w:rsidRPr="005E2279">
        <w:rPr>
          <w:sz w:val="22"/>
          <w:szCs w:val="22"/>
          <w:lang w:val="en-GB"/>
        </w:rPr>
        <w:t>p</w:t>
      </w:r>
      <w:r w:rsidRPr="005E2279">
        <w:rPr>
          <w:sz w:val="22"/>
          <w:szCs w:val="22"/>
          <w:lang w:val="en-GB"/>
        </w:rPr>
        <w:t>ractical</w:t>
      </w:r>
      <w:r w:rsidR="00985F8D" w:rsidRPr="005E2279">
        <w:rPr>
          <w:sz w:val="22"/>
          <w:szCs w:val="22"/>
          <w:lang w:val="en-GB"/>
        </w:rPr>
        <w:t xml:space="preserve"> </w:t>
      </w:r>
      <w:r w:rsidR="00725D52" w:rsidRPr="005E2279">
        <w:rPr>
          <w:sz w:val="22"/>
          <w:szCs w:val="22"/>
          <w:lang w:val="en-GB"/>
        </w:rPr>
        <w:t>g</w:t>
      </w:r>
      <w:r w:rsidRPr="005E2279">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5E2279">
        <w:rPr>
          <w:sz w:val="22"/>
          <w:szCs w:val="22"/>
          <w:lang w:val="en-GB"/>
        </w:rPr>
        <w:t>S</w:t>
      </w:r>
      <w:r w:rsidRPr="005E2279">
        <w:rPr>
          <w:sz w:val="22"/>
          <w:szCs w:val="22"/>
          <w:lang w:val="en-GB"/>
        </w:rPr>
        <w:t xml:space="preserve">ection </w:t>
      </w:r>
      <w:r w:rsidR="00725D52" w:rsidRPr="005E2279">
        <w:rPr>
          <w:sz w:val="22"/>
          <w:szCs w:val="22"/>
          <w:lang w:val="en-GB"/>
        </w:rPr>
        <w:t>2.6.10.1.</w:t>
      </w:r>
      <w:r w:rsidRPr="005E2279">
        <w:rPr>
          <w:sz w:val="22"/>
          <w:szCs w:val="22"/>
          <w:lang w:val="en-GB"/>
        </w:rPr>
        <w:t xml:space="preserve"> of the </w:t>
      </w:r>
      <w:r w:rsidR="00725D52" w:rsidRPr="005E2279">
        <w:rPr>
          <w:sz w:val="22"/>
          <w:szCs w:val="22"/>
          <w:lang w:val="en-GB"/>
        </w:rPr>
        <w:t>p</w:t>
      </w:r>
      <w:r w:rsidRPr="005E2279">
        <w:rPr>
          <w:sz w:val="22"/>
          <w:szCs w:val="22"/>
          <w:lang w:val="en-GB"/>
        </w:rPr>
        <w:t xml:space="preserve">ractical </w:t>
      </w:r>
      <w:r w:rsidR="00725D52" w:rsidRPr="005E2279">
        <w:rPr>
          <w:sz w:val="22"/>
          <w:szCs w:val="22"/>
          <w:lang w:val="en-GB"/>
        </w:rPr>
        <w:t>g</w:t>
      </w:r>
      <w:r w:rsidRPr="005E2279">
        <w:rPr>
          <w:sz w:val="22"/>
          <w:szCs w:val="22"/>
          <w:lang w:val="en-GB"/>
        </w:rPr>
        <w:t>uide. The declarations must cover all the members of a joint venture/consortium. Tenderers guilty of making false declarations may also incur financial penalties</w:t>
      </w:r>
      <w:r w:rsidR="0040130C" w:rsidRPr="005E2279">
        <w:rPr>
          <w:sz w:val="22"/>
          <w:szCs w:val="22"/>
          <w:lang w:val="en-GB"/>
        </w:rPr>
        <w:t xml:space="preserve"> up to 10% of the value of the contract</w:t>
      </w:r>
      <w:r w:rsidRPr="005E2279">
        <w:rPr>
          <w:sz w:val="22"/>
          <w:szCs w:val="22"/>
          <w:lang w:val="en-GB"/>
        </w:rPr>
        <w:t xml:space="preserve"> and exclusion in accordance with </w:t>
      </w:r>
      <w:r w:rsidR="0040130C" w:rsidRPr="005E2279">
        <w:rPr>
          <w:sz w:val="22"/>
          <w:szCs w:val="22"/>
          <w:lang w:val="en-GB"/>
        </w:rPr>
        <w:t>the Financial Regulation in force</w:t>
      </w:r>
      <w:r w:rsidRPr="005E2279">
        <w:rPr>
          <w:sz w:val="22"/>
          <w:szCs w:val="22"/>
          <w:lang w:val="en-GB"/>
        </w:rPr>
        <w:t>.</w:t>
      </w:r>
    </w:p>
    <w:p w14:paraId="04496F24" w14:textId="77777777" w:rsidR="003720EC" w:rsidRPr="005E2279" w:rsidRDefault="003720EC" w:rsidP="00586A47">
      <w:pPr>
        <w:pStyle w:val="PRAGHeading2"/>
        <w:numPr>
          <w:ilvl w:val="0"/>
          <w:numId w:val="0"/>
        </w:numPr>
        <w:ind w:left="709"/>
        <w:jc w:val="both"/>
        <w:rPr>
          <w:sz w:val="22"/>
          <w:szCs w:val="22"/>
          <w:lang w:val="en-GB"/>
        </w:rPr>
      </w:pPr>
      <w:r w:rsidRPr="005E2279">
        <w:rPr>
          <w:sz w:val="22"/>
          <w:szCs w:val="22"/>
          <w:lang w:val="en-GB"/>
        </w:rPr>
        <w:t>Those exclusion situations apply to all members of a joint venture/consortium, all subcontractors and all suppliers to tenderers, as well as to all entities upon whose capacity the tenderer relies for the selection criteria.</w:t>
      </w:r>
    </w:p>
    <w:p w14:paraId="10396D5B" w14:textId="77777777" w:rsidR="00631F1A" w:rsidRPr="005E2279" w:rsidRDefault="002B6113" w:rsidP="00586A47">
      <w:pPr>
        <w:pStyle w:val="PRAGHeading2"/>
        <w:numPr>
          <w:ilvl w:val="0"/>
          <w:numId w:val="0"/>
        </w:numPr>
        <w:ind w:left="709"/>
        <w:jc w:val="both"/>
        <w:rPr>
          <w:sz w:val="22"/>
          <w:szCs w:val="22"/>
          <w:lang w:val="en-GB"/>
        </w:rPr>
      </w:pPr>
      <w:r w:rsidRPr="005E2279">
        <w:rPr>
          <w:sz w:val="22"/>
          <w:szCs w:val="22"/>
          <w:lang w:val="en-GB"/>
        </w:rPr>
        <w:t>Tenderers</w:t>
      </w:r>
      <w:r w:rsidR="00631F1A" w:rsidRPr="005E2279">
        <w:rPr>
          <w:sz w:val="22"/>
          <w:szCs w:val="22"/>
          <w:lang w:val="en-GB"/>
        </w:rPr>
        <w:t xml:space="preserve"> included in the lists of EU restrictive measures (see Section </w:t>
      </w:r>
      <w:r w:rsidR="00725D52" w:rsidRPr="005E2279">
        <w:rPr>
          <w:sz w:val="22"/>
          <w:szCs w:val="22"/>
          <w:lang w:val="en-GB"/>
        </w:rPr>
        <w:t>2.4.</w:t>
      </w:r>
      <w:r w:rsidR="00631F1A" w:rsidRPr="005E2279">
        <w:rPr>
          <w:sz w:val="22"/>
          <w:szCs w:val="22"/>
          <w:lang w:val="en-GB"/>
        </w:rPr>
        <w:t xml:space="preserve"> of the PRAG) at the moment of the award decision cannot be awarded the contract</w:t>
      </w:r>
      <w:r w:rsidRPr="005E2279">
        <w:rPr>
          <w:sz w:val="22"/>
          <w:szCs w:val="22"/>
          <w:lang w:val="en-GB"/>
        </w:rPr>
        <w:t>.</w:t>
      </w:r>
    </w:p>
    <w:p w14:paraId="0624F528" w14:textId="77777777" w:rsidR="002139C6" w:rsidRPr="005E2279" w:rsidRDefault="002139C6" w:rsidP="00923CFE">
      <w:pPr>
        <w:pStyle w:val="PRAGHeading2"/>
        <w:jc w:val="both"/>
        <w:rPr>
          <w:rStyle w:val="Strong"/>
          <w:sz w:val="22"/>
          <w:szCs w:val="22"/>
          <w:lang w:val="en-GB"/>
        </w:rPr>
      </w:pPr>
      <w:r w:rsidRPr="005E2279">
        <w:rPr>
          <w:rStyle w:val="Strong"/>
          <w:sz w:val="22"/>
          <w:szCs w:val="22"/>
          <w:lang w:val="en-GB"/>
        </w:rPr>
        <w:t>Number of tenders</w:t>
      </w:r>
    </w:p>
    <w:p w14:paraId="52DDC2BE" w14:textId="77777777" w:rsidR="00EE2A34" w:rsidRPr="005E2279" w:rsidRDefault="002139C6" w:rsidP="00586A47">
      <w:pPr>
        <w:pStyle w:val="PRAGHeading2"/>
        <w:numPr>
          <w:ilvl w:val="0"/>
          <w:numId w:val="0"/>
        </w:numPr>
        <w:ind w:left="709"/>
        <w:jc w:val="both"/>
        <w:rPr>
          <w:sz w:val="22"/>
          <w:szCs w:val="22"/>
          <w:lang w:val="en-GB"/>
        </w:rPr>
      </w:pPr>
      <w:r w:rsidRPr="005E2279">
        <w:rPr>
          <w:sz w:val="22"/>
          <w:szCs w:val="22"/>
          <w:lang w:val="en-GB"/>
        </w:rPr>
        <w:t xml:space="preserve">Tenderers may submit </w:t>
      </w:r>
      <w:r w:rsidR="00AA4373" w:rsidRPr="005E2279">
        <w:rPr>
          <w:sz w:val="22"/>
          <w:szCs w:val="22"/>
          <w:lang w:val="en-GB"/>
        </w:rPr>
        <w:t>only one tender</w:t>
      </w:r>
      <w:r w:rsidRPr="005E2279">
        <w:rPr>
          <w:sz w:val="22"/>
          <w:szCs w:val="22"/>
          <w:lang w:val="en-GB"/>
        </w:rPr>
        <w:t xml:space="preserve">. Tenders for parts of </w:t>
      </w:r>
      <w:r w:rsidR="00721E98" w:rsidRPr="005E2279">
        <w:rPr>
          <w:sz w:val="22"/>
          <w:szCs w:val="22"/>
          <w:lang w:val="en-GB"/>
        </w:rPr>
        <w:t>the</w:t>
      </w:r>
      <w:r w:rsidRPr="005E2279">
        <w:rPr>
          <w:sz w:val="22"/>
          <w:szCs w:val="22"/>
          <w:lang w:val="en-GB"/>
        </w:rPr>
        <w:t xml:space="preserve"> </w:t>
      </w:r>
      <w:r w:rsidR="00721E98" w:rsidRPr="005E2279">
        <w:rPr>
          <w:sz w:val="22"/>
          <w:szCs w:val="22"/>
          <w:lang w:val="en-GB"/>
        </w:rPr>
        <w:t>works</w:t>
      </w:r>
      <w:r w:rsidRPr="005E2279">
        <w:rPr>
          <w:sz w:val="22"/>
          <w:szCs w:val="22"/>
          <w:lang w:val="en-GB"/>
        </w:rPr>
        <w:t xml:space="preserve"> will not be considered. </w:t>
      </w:r>
      <w:r w:rsidRPr="005E2279">
        <w:rPr>
          <w:sz w:val="22"/>
          <w:szCs w:val="22"/>
          <w:lang w:val="en-GB"/>
        </w:rPr>
        <w:lastRenderedPageBreak/>
        <w:t>Tenderers may not</w:t>
      </w:r>
      <w:r w:rsidR="002E09EF" w:rsidRPr="005E2279">
        <w:rPr>
          <w:sz w:val="22"/>
          <w:szCs w:val="22"/>
          <w:lang w:val="en-GB"/>
        </w:rPr>
        <w:t xml:space="preserve"> </w:t>
      </w:r>
      <w:r w:rsidRPr="005E2279">
        <w:rPr>
          <w:sz w:val="22"/>
          <w:szCs w:val="22"/>
          <w:lang w:val="en-GB"/>
        </w:rPr>
        <w:t>submit a tender for a variant solution in addition to their tender for the works required in the tender dossier.</w:t>
      </w:r>
    </w:p>
    <w:p w14:paraId="2084CA3E" w14:textId="77777777" w:rsidR="002139C6" w:rsidRPr="005E2279" w:rsidRDefault="00F839CB" w:rsidP="00923CFE">
      <w:pPr>
        <w:keepNext/>
        <w:keepLines/>
        <w:jc w:val="both"/>
        <w:rPr>
          <w:sz w:val="22"/>
          <w:szCs w:val="22"/>
          <w:lang w:val="en-GB"/>
        </w:rPr>
      </w:pPr>
      <w:r>
        <w:rPr>
          <w:snapToGrid/>
          <w:sz w:val="22"/>
          <w:szCs w:val="22"/>
          <w:lang w:val="en-GB"/>
        </w:rPr>
        <w:pict w14:anchorId="6C3B7A4F">
          <v:line id="_x0000_s1026" style="position:absolute;left:0;text-align:left;z-index:1" from="0,12pt" to="468pt,12.05pt" o:allowincell="f" strokecolor="#d4d4d4" strokeweight="1.75pt">
            <v:shadow on="t" origin=",32385f" offset="0,-1pt"/>
          </v:line>
        </w:pict>
      </w:r>
    </w:p>
    <w:p w14:paraId="214F707C" w14:textId="77777777" w:rsidR="002139C6" w:rsidRPr="005E2279" w:rsidRDefault="002139C6" w:rsidP="00923CFE">
      <w:pPr>
        <w:keepNext/>
        <w:keepLines/>
        <w:ind w:left="360"/>
        <w:jc w:val="both"/>
        <w:rPr>
          <w:rStyle w:val="Strong"/>
          <w:sz w:val="22"/>
          <w:szCs w:val="22"/>
          <w:lang w:val="en-GB"/>
        </w:rPr>
      </w:pPr>
      <w:r w:rsidRPr="005E2279">
        <w:rPr>
          <w:rStyle w:val="Strong"/>
          <w:sz w:val="22"/>
          <w:szCs w:val="22"/>
          <w:lang w:val="en-GB"/>
        </w:rPr>
        <w:t>SELECTION AND AWARD CRITERIA</w:t>
      </w:r>
    </w:p>
    <w:p w14:paraId="7F9B1537" w14:textId="77777777" w:rsidR="00E17B77" w:rsidRPr="005E2279" w:rsidRDefault="002139C6" w:rsidP="00923CFE">
      <w:pPr>
        <w:pStyle w:val="PRAGHeading2"/>
        <w:jc w:val="both"/>
        <w:rPr>
          <w:rStyle w:val="Strong"/>
          <w:sz w:val="22"/>
          <w:szCs w:val="22"/>
          <w:lang w:val="en-GB"/>
        </w:rPr>
      </w:pPr>
      <w:r w:rsidRPr="005E2279">
        <w:rPr>
          <w:rStyle w:val="Strong"/>
          <w:sz w:val="22"/>
          <w:szCs w:val="22"/>
          <w:lang w:val="en-GB"/>
        </w:rPr>
        <w:t>Selection criteria</w:t>
      </w:r>
    </w:p>
    <w:p w14:paraId="7B89ECD1" w14:textId="77777777" w:rsidR="002B0469" w:rsidRPr="005E2279" w:rsidRDefault="002B0469" w:rsidP="00923CFE">
      <w:pPr>
        <w:pStyle w:val="Heading3"/>
        <w:widowControl w:val="0"/>
        <w:numPr>
          <w:ilvl w:val="0"/>
          <w:numId w:val="0"/>
        </w:numPr>
        <w:ind w:left="284"/>
        <w:rPr>
          <w:lang w:val="en-GB"/>
        </w:rPr>
      </w:pPr>
      <w:r w:rsidRPr="005E2279">
        <w:rPr>
          <w:lang w:val="en-GB"/>
        </w:rPr>
        <w:t>In order to be eligible for the award of the contract, tenderers must provide evidence that they meet the selection criteria. If a tender is submitted by a consortium, unless specified, the selection criteria will be applied to the consortium as a whole.</w:t>
      </w:r>
    </w:p>
    <w:p w14:paraId="60740F3B" w14:textId="5F792612" w:rsidR="008C2210" w:rsidRDefault="002B0469" w:rsidP="00923CFE">
      <w:pPr>
        <w:ind w:left="284"/>
        <w:jc w:val="both"/>
        <w:rPr>
          <w:sz w:val="22"/>
          <w:lang w:val="en-GB"/>
        </w:rPr>
      </w:pPr>
      <w:r w:rsidRPr="005E2279">
        <w:rPr>
          <w:sz w:val="22"/>
          <w:lang w:val="en-GB"/>
        </w:rPr>
        <w:t>The selection criteria for each tenderer are as follows:</w:t>
      </w:r>
    </w:p>
    <w:p w14:paraId="6D3E23FF" w14:textId="228B98DD" w:rsidR="002B0469" w:rsidRPr="005E2279" w:rsidRDefault="001408AF" w:rsidP="00545713">
      <w:pPr>
        <w:ind w:left="567"/>
        <w:jc w:val="both"/>
        <w:rPr>
          <w:b/>
          <w:i/>
          <w:sz w:val="22"/>
          <w:u w:val="single"/>
          <w:lang w:val="en-GB"/>
        </w:rPr>
      </w:pPr>
      <w:r w:rsidRPr="005E2279">
        <w:rPr>
          <w:b/>
          <w:i/>
          <w:sz w:val="22"/>
          <w:lang w:val="en-GB"/>
        </w:rPr>
        <w:t>14.a</w:t>
      </w:r>
      <w:r w:rsidRPr="005E2279">
        <w:rPr>
          <w:b/>
          <w:i/>
          <w:sz w:val="22"/>
          <w:lang w:val="en-GB"/>
        </w:rPr>
        <w:tab/>
      </w:r>
      <w:r w:rsidR="002B0469" w:rsidRPr="005E2279">
        <w:rPr>
          <w:b/>
          <w:i/>
          <w:sz w:val="22"/>
          <w:u w:val="single"/>
          <w:lang w:val="en-GB"/>
        </w:rPr>
        <w:t>Economic and financial capacity of candidate:</w:t>
      </w:r>
    </w:p>
    <w:p w14:paraId="558C6F8B" w14:textId="61D526A6" w:rsidR="002B0469" w:rsidRPr="00111303" w:rsidRDefault="00C6653D" w:rsidP="00363A64">
      <w:pPr>
        <w:numPr>
          <w:ilvl w:val="0"/>
          <w:numId w:val="5"/>
        </w:numPr>
        <w:jc w:val="both"/>
        <w:rPr>
          <w:sz w:val="22"/>
          <w:lang w:val="en-GB"/>
        </w:rPr>
      </w:pPr>
      <w:r w:rsidRPr="00111303">
        <w:rPr>
          <w:sz w:val="22"/>
          <w:lang w:val="en-GB"/>
        </w:rPr>
        <w:t>T</w:t>
      </w:r>
      <w:r w:rsidR="002B0469" w:rsidRPr="00111303">
        <w:rPr>
          <w:sz w:val="22"/>
          <w:lang w:val="en-GB"/>
        </w:rPr>
        <w:t xml:space="preserve">he average annual turnover of the tenderer in the past 3 years </w:t>
      </w:r>
      <w:r w:rsidR="00545713" w:rsidRPr="00111303">
        <w:rPr>
          <w:sz w:val="22"/>
          <w:lang w:val="en-US"/>
        </w:rPr>
        <w:t xml:space="preserve">for which accounts have been closed </w:t>
      </w:r>
      <w:r w:rsidR="002B0469" w:rsidRPr="00111303">
        <w:rPr>
          <w:sz w:val="22"/>
          <w:lang w:val="en-GB"/>
        </w:rPr>
        <w:t xml:space="preserve">must be at least </w:t>
      </w:r>
      <w:r w:rsidR="00111303" w:rsidRPr="00111303">
        <w:rPr>
          <w:sz w:val="22"/>
          <w:lang w:val="bg-BG"/>
        </w:rPr>
        <w:t>2</w:t>
      </w:r>
      <w:r w:rsidR="008C2210" w:rsidRPr="00111303">
        <w:rPr>
          <w:sz w:val="22"/>
          <w:lang w:val="en-GB"/>
        </w:rPr>
        <w:t>00 000 BGN.</w:t>
      </w:r>
      <w:r w:rsidR="00B3535B" w:rsidRPr="00111303">
        <w:rPr>
          <w:sz w:val="22"/>
          <w:lang w:val="en-GB"/>
        </w:rPr>
        <w:t xml:space="preserve"> </w:t>
      </w:r>
    </w:p>
    <w:p w14:paraId="341BE5B9" w14:textId="62604263" w:rsidR="00111303" w:rsidRPr="00923CFE" w:rsidRDefault="00111303" w:rsidP="00111303">
      <w:pPr>
        <w:spacing w:before="240" w:after="120"/>
        <w:ind w:left="567"/>
        <w:jc w:val="both"/>
        <w:outlineLvl w:val="2"/>
        <w:rPr>
          <w:snapToGrid/>
          <w:sz w:val="22"/>
          <w:szCs w:val="22"/>
          <w:lang w:val="en-GB"/>
        </w:rPr>
      </w:pPr>
      <w:r w:rsidRPr="00923CFE">
        <w:rPr>
          <w:b/>
          <w:i/>
          <w:snapToGrid/>
          <w:sz w:val="22"/>
          <w:szCs w:val="22"/>
          <w:lang w:val="en-GB"/>
        </w:rPr>
        <w:t>14.</w:t>
      </w:r>
      <w:r>
        <w:rPr>
          <w:b/>
          <w:i/>
          <w:snapToGrid/>
          <w:sz w:val="22"/>
          <w:szCs w:val="22"/>
          <w:lang w:val="en-US"/>
        </w:rPr>
        <w:t>b</w:t>
      </w:r>
      <w:r w:rsidRPr="00923CFE">
        <w:rPr>
          <w:b/>
          <w:i/>
          <w:snapToGrid/>
          <w:sz w:val="22"/>
          <w:szCs w:val="22"/>
          <w:lang w:val="en-GB"/>
        </w:rPr>
        <w:t xml:space="preserve">. </w:t>
      </w:r>
      <w:r w:rsidRPr="00923CFE">
        <w:rPr>
          <w:snapToGrid/>
          <w:sz w:val="22"/>
          <w:szCs w:val="22"/>
          <w:lang w:val="en-GB"/>
        </w:rPr>
        <w:t>According to art. 171 of the Bulgarian Spatial Planning Law</w:t>
      </w:r>
      <w:r w:rsidRPr="00923CFE">
        <w:rPr>
          <w:snapToGrid/>
          <w:sz w:val="22"/>
          <w:szCs w:val="22"/>
          <w:lang w:val="en-US"/>
        </w:rPr>
        <w:t xml:space="preserve"> </w:t>
      </w:r>
      <w:r w:rsidRPr="00923CFE">
        <w:rPr>
          <w:snapToGrid/>
          <w:sz w:val="22"/>
          <w:szCs w:val="22"/>
          <w:lang w:val="en-GB"/>
        </w:rPr>
        <w:t xml:space="preserve">entities executing construction in Bulgaria should be have a professional liability insurance under the ORDINANCE OF THE TERMS AND CONDITIONS OF COMPULSORY INSURANCE IN DESIGN AND CONSTRUCTION from 2004. At the moment of provision of the tender offer tenderers are not obliged to prove that they meet this </w:t>
      </w:r>
      <w:r w:rsidRPr="00923CFE">
        <w:rPr>
          <w:snapToGrid/>
          <w:color w:val="000000"/>
          <w:sz w:val="22"/>
          <w:szCs w:val="22"/>
          <w:lang w:val="en-GB"/>
        </w:rPr>
        <w:t xml:space="preserve">requirement. However, the chosen contractor, before signing the contract must provide evidence of relevant professional risk </w:t>
      </w:r>
      <w:r w:rsidRPr="00923CFE">
        <w:rPr>
          <w:snapToGrid/>
          <w:sz w:val="22"/>
          <w:szCs w:val="22"/>
          <w:lang w:val="en-GB"/>
        </w:rPr>
        <w:t>indemnity insurance according to the provision of art. 5 of the stated ordinance or equivalent document according to the legislation of a Member State of the Union or of another country - party to the Agreement on the European Economic Area or of the Swiss Confederation</w:t>
      </w:r>
      <w:r w:rsidRPr="00923CFE">
        <w:rPr>
          <w:snapToGrid/>
          <w:sz w:val="22"/>
          <w:szCs w:val="22"/>
          <w:lang w:val="bg-BG"/>
        </w:rPr>
        <w:t xml:space="preserve">, </w:t>
      </w:r>
      <w:r w:rsidRPr="00923CFE">
        <w:rPr>
          <w:snapToGrid/>
          <w:sz w:val="22"/>
          <w:szCs w:val="22"/>
          <w:lang w:val="en-US"/>
        </w:rPr>
        <w:t xml:space="preserve">where </w:t>
      </w:r>
      <w:r w:rsidRPr="00923CFE">
        <w:rPr>
          <w:snapToGrid/>
          <w:sz w:val="22"/>
          <w:szCs w:val="22"/>
          <w:lang w:val="en-GB"/>
        </w:rPr>
        <w:t xml:space="preserve">the contractor is registered or has its operations. </w:t>
      </w:r>
      <w:r w:rsidRPr="00111303">
        <w:rPr>
          <w:snapToGrid/>
          <w:sz w:val="22"/>
          <w:szCs w:val="22"/>
          <w:lang w:val="en-GB"/>
        </w:rPr>
        <w:t>The</w:t>
      </w:r>
      <w:r w:rsidRPr="00111303">
        <w:rPr>
          <w:snapToGrid/>
          <w:sz w:val="22"/>
          <w:szCs w:val="22"/>
          <w:lang w:val="bg-BG"/>
        </w:rPr>
        <w:t xml:space="preserve"> </w:t>
      </w:r>
      <w:r w:rsidRPr="00111303">
        <w:rPr>
          <w:snapToGrid/>
          <w:sz w:val="22"/>
          <w:szCs w:val="22"/>
          <w:lang w:val="en-US"/>
        </w:rPr>
        <w:t>construction</w:t>
      </w:r>
      <w:r w:rsidRPr="00111303">
        <w:rPr>
          <w:snapToGrid/>
          <w:sz w:val="22"/>
          <w:szCs w:val="22"/>
          <w:lang w:val="en-GB"/>
        </w:rPr>
        <w:t xml:space="preserve"> site is IV</w:t>
      </w:r>
      <w:r w:rsidRPr="00111303">
        <w:rPr>
          <w:snapToGrid/>
          <w:sz w:val="22"/>
          <w:szCs w:val="22"/>
          <w:vertAlign w:val="superscript"/>
          <w:lang w:val="en-GB"/>
        </w:rPr>
        <w:t>th</w:t>
      </w:r>
      <w:r w:rsidRPr="00111303">
        <w:rPr>
          <w:snapToGrid/>
          <w:sz w:val="22"/>
          <w:szCs w:val="22"/>
          <w:lang w:val="en-GB"/>
        </w:rPr>
        <w:t xml:space="preserve"> /fourth/ category as per art. 137, par. 1, point </w:t>
      </w:r>
      <w:r w:rsidRPr="00111303">
        <w:rPr>
          <w:snapToGrid/>
          <w:sz w:val="22"/>
          <w:szCs w:val="22"/>
          <w:lang w:val="en-US"/>
        </w:rPr>
        <w:t>4</w:t>
      </w:r>
      <w:r w:rsidRPr="00111303">
        <w:rPr>
          <w:snapToGrid/>
          <w:sz w:val="22"/>
          <w:szCs w:val="22"/>
          <w:lang w:val="en-GB"/>
        </w:rPr>
        <w:t>, letter «</w:t>
      </w:r>
      <w:r w:rsidRPr="00111303">
        <w:rPr>
          <w:snapToGrid/>
          <w:sz w:val="22"/>
          <w:szCs w:val="22"/>
          <w:lang w:val="en-US"/>
        </w:rPr>
        <w:t>d</w:t>
      </w:r>
      <w:r w:rsidRPr="00111303">
        <w:rPr>
          <w:snapToGrid/>
          <w:sz w:val="22"/>
          <w:szCs w:val="22"/>
          <w:lang w:val="en-GB"/>
        </w:rPr>
        <w:t>» of the Spatial Planning Law (SPL).</w:t>
      </w:r>
    </w:p>
    <w:p w14:paraId="570BC183" w14:textId="77777777" w:rsidR="00C6653D" w:rsidRDefault="00C6653D" w:rsidP="00545713">
      <w:pPr>
        <w:spacing w:before="240" w:after="120"/>
        <w:ind w:left="567"/>
        <w:jc w:val="both"/>
        <w:outlineLvl w:val="2"/>
        <w:rPr>
          <w:snapToGrid/>
          <w:sz w:val="22"/>
          <w:szCs w:val="22"/>
          <w:lang w:val="en-US" w:eastAsia="bg-BG"/>
        </w:rPr>
      </w:pPr>
      <w:r w:rsidRPr="00C46295">
        <w:rPr>
          <w:snapToGrid/>
          <w:sz w:val="22"/>
          <w:szCs w:val="22"/>
          <w:lang w:val="en-US" w:eastAsia="bg-BG"/>
        </w:rPr>
        <w:t>The documents with which the economic and financial capacity of the tenderer under point 14.a</w:t>
      </w:r>
      <w:r w:rsidRPr="00C46295">
        <w:rPr>
          <w:snapToGrid/>
          <w:sz w:val="22"/>
          <w:szCs w:val="22"/>
          <w:lang w:val="bg-BG" w:eastAsia="bg-BG"/>
        </w:rPr>
        <w:t>.</w:t>
      </w:r>
      <w:r w:rsidRPr="00C46295">
        <w:rPr>
          <w:snapToGrid/>
          <w:sz w:val="22"/>
          <w:szCs w:val="22"/>
          <w:lang w:val="en-US" w:eastAsia="bg-BG"/>
        </w:rPr>
        <w:t xml:space="preserve"> is proved are financial statements or their extracts for a period equal to or less than the last 3 years for which accounts have been closed, where publication of the balance sheet is required under the company law of the country in which the economic operator is established or a statement of overall turnover during a period of no more than the last three financial years. </w:t>
      </w:r>
    </w:p>
    <w:p w14:paraId="5445A8A4" w14:textId="07EF7AC5" w:rsidR="00C6653D" w:rsidRPr="00C6653D" w:rsidRDefault="00C6653D" w:rsidP="00545713">
      <w:pPr>
        <w:spacing w:before="0" w:after="120"/>
        <w:ind w:left="567"/>
        <w:jc w:val="both"/>
        <w:outlineLvl w:val="2"/>
        <w:rPr>
          <w:snapToGrid/>
          <w:sz w:val="22"/>
          <w:szCs w:val="22"/>
          <w:lang w:val="en-US" w:eastAsia="bg-BG"/>
        </w:rPr>
      </w:pPr>
      <w:r w:rsidRPr="00C46295">
        <w:rPr>
          <w:snapToGrid/>
          <w:sz w:val="22"/>
          <w:szCs w:val="22"/>
          <w:lang w:val="en-US" w:eastAsia="bg-BG"/>
        </w:rPr>
        <w:t>If a tender</w:t>
      </w:r>
      <w:r>
        <w:rPr>
          <w:snapToGrid/>
          <w:sz w:val="22"/>
          <w:szCs w:val="22"/>
          <w:lang w:val="en-US" w:eastAsia="bg-BG"/>
        </w:rPr>
        <w:t xml:space="preserve"> </w:t>
      </w:r>
      <w:r w:rsidRPr="00C46295">
        <w:rPr>
          <w:snapToGrid/>
          <w:sz w:val="22"/>
          <w:szCs w:val="22"/>
          <w:lang w:val="en-US" w:eastAsia="bg-BG"/>
        </w:rPr>
        <w:t>is submitted by a consortium the selection criteria of point 14.a. for economic and financial capacity will be applied to the consortium as a whole.</w:t>
      </w:r>
    </w:p>
    <w:p w14:paraId="0FED9E92" w14:textId="52A9295D" w:rsidR="00C6653D" w:rsidRPr="00923CFE" w:rsidRDefault="00C6653D" w:rsidP="00545713">
      <w:pPr>
        <w:ind w:left="1440" w:hanging="873"/>
        <w:jc w:val="both"/>
        <w:rPr>
          <w:b/>
          <w:i/>
          <w:sz w:val="22"/>
          <w:lang w:val="en-GB"/>
        </w:rPr>
      </w:pPr>
      <w:r w:rsidRPr="00923CFE">
        <w:rPr>
          <w:b/>
          <w:i/>
          <w:sz w:val="22"/>
          <w:lang w:val="en-GB"/>
        </w:rPr>
        <w:t>14.</w:t>
      </w:r>
      <w:r w:rsidR="00111303">
        <w:rPr>
          <w:b/>
          <w:i/>
          <w:sz w:val="22"/>
          <w:lang w:val="en-GB"/>
        </w:rPr>
        <w:t>c</w:t>
      </w:r>
      <w:r w:rsidRPr="00923CFE">
        <w:rPr>
          <w:b/>
          <w:i/>
          <w:sz w:val="22"/>
          <w:lang w:val="en-GB"/>
        </w:rPr>
        <w:tab/>
      </w:r>
      <w:r w:rsidRPr="00923CFE">
        <w:rPr>
          <w:b/>
          <w:i/>
          <w:sz w:val="22"/>
          <w:u w:val="single"/>
          <w:lang w:val="en-GB"/>
        </w:rPr>
        <w:t>Technical and professional capacity of candidate:</w:t>
      </w:r>
    </w:p>
    <w:p w14:paraId="29E8F7D2" w14:textId="76C62D15" w:rsidR="00C6653D" w:rsidRPr="00923CFE" w:rsidRDefault="00C6653D" w:rsidP="00363A64">
      <w:pPr>
        <w:numPr>
          <w:ilvl w:val="0"/>
          <w:numId w:val="3"/>
        </w:numPr>
        <w:ind w:left="993"/>
        <w:jc w:val="both"/>
        <w:rPr>
          <w:snapToGrid/>
          <w:sz w:val="22"/>
          <w:szCs w:val="22"/>
          <w:lang w:val="en-GB"/>
        </w:rPr>
      </w:pPr>
      <w:r w:rsidRPr="00923CFE">
        <w:rPr>
          <w:snapToGrid/>
          <w:sz w:val="22"/>
          <w:szCs w:val="22"/>
          <w:lang w:val="en-GB"/>
        </w:rPr>
        <w:t>it must have completed at least 1 construction works contract and/or project</w:t>
      </w:r>
      <w:r w:rsidR="00111303">
        <w:rPr>
          <w:snapToGrid/>
          <w:sz w:val="22"/>
          <w:szCs w:val="22"/>
          <w:lang w:val="en-GB"/>
        </w:rPr>
        <w:t xml:space="preserve"> and/or activity</w:t>
      </w:r>
      <w:r w:rsidRPr="00923CFE">
        <w:rPr>
          <w:snapToGrid/>
          <w:sz w:val="22"/>
          <w:szCs w:val="22"/>
          <w:lang w:val="en-GB"/>
        </w:rPr>
        <w:t xml:space="preserve"> of the same nature and complexity as the works </w:t>
      </w:r>
      <w:r w:rsidRPr="00923CFE">
        <w:rPr>
          <w:b/>
          <w:snapToGrid/>
          <w:sz w:val="22"/>
          <w:szCs w:val="22"/>
          <w:lang w:val="en-GB"/>
        </w:rPr>
        <w:t>concerned</w:t>
      </w:r>
      <w:r w:rsidRPr="00923CFE">
        <w:rPr>
          <w:snapToGrid/>
          <w:sz w:val="22"/>
          <w:szCs w:val="22"/>
          <w:lang w:val="en-GB"/>
        </w:rPr>
        <w:t xml:space="preserve"> by the tender and implemented during the following period: </w:t>
      </w:r>
      <w:r w:rsidR="008D280C">
        <w:rPr>
          <w:b/>
          <w:snapToGrid/>
          <w:sz w:val="22"/>
          <w:szCs w:val="22"/>
          <w:lang w:val="en-GB"/>
        </w:rPr>
        <w:t>1</w:t>
      </w:r>
      <w:bookmarkStart w:id="8" w:name="_GoBack"/>
      <w:bookmarkEnd w:id="8"/>
      <w:r w:rsidR="004D1C16">
        <w:rPr>
          <w:b/>
          <w:snapToGrid/>
          <w:sz w:val="22"/>
          <w:szCs w:val="22"/>
          <w:lang w:val="en-GB"/>
        </w:rPr>
        <w:t>5</w:t>
      </w:r>
      <w:r w:rsidRPr="00111303">
        <w:rPr>
          <w:b/>
          <w:snapToGrid/>
          <w:sz w:val="22"/>
          <w:szCs w:val="22"/>
          <w:lang w:val="en-GB"/>
        </w:rPr>
        <w:t>.</w:t>
      </w:r>
      <w:r w:rsidR="00111303" w:rsidRPr="00111303">
        <w:rPr>
          <w:b/>
          <w:snapToGrid/>
          <w:sz w:val="22"/>
          <w:szCs w:val="22"/>
          <w:lang w:val="en-GB"/>
        </w:rPr>
        <w:t>0</w:t>
      </w:r>
      <w:r w:rsidR="004D1C16">
        <w:rPr>
          <w:b/>
          <w:snapToGrid/>
          <w:sz w:val="22"/>
          <w:szCs w:val="22"/>
          <w:lang w:val="en-GB"/>
        </w:rPr>
        <w:t>4</w:t>
      </w:r>
      <w:r w:rsidRPr="00111303">
        <w:rPr>
          <w:b/>
          <w:snapToGrid/>
          <w:sz w:val="22"/>
          <w:szCs w:val="22"/>
          <w:lang w:val="en-GB"/>
        </w:rPr>
        <w:t>.201</w:t>
      </w:r>
      <w:r w:rsidR="00923CFE" w:rsidRPr="00111303">
        <w:rPr>
          <w:b/>
          <w:snapToGrid/>
          <w:sz w:val="22"/>
          <w:szCs w:val="22"/>
          <w:lang w:val="en-GB"/>
        </w:rPr>
        <w:t>6</w:t>
      </w:r>
      <w:r w:rsidRPr="00111303">
        <w:rPr>
          <w:b/>
          <w:snapToGrid/>
          <w:sz w:val="22"/>
          <w:szCs w:val="22"/>
          <w:lang w:val="en-GB"/>
        </w:rPr>
        <w:t xml:space="preserve"> –</w:t>
      </w:r>
      <w:r w:rsidRPr="00111303">
        <w:rPr>
          <w:snapToGrid/>
          <w:sz w:val="22"/>
          <w:szCs w:val="22"/>
          <w:lang w:val="en-GB"/>
        </w:rPr>
        <w:t xml:space="preserve"> </w:t>
      </w:r>
      <w:r w:rsidR="008D280C">
        <w:rPr>
          <w:b/>
          <w:snapToGrid/>
          <w:sz w:val="22"/>
          <w:szCs w:val="22"/>
          <w:lang w:val="en-GB"/>
        </w:rPr>
        <w:t>1</w:t>
      </w:r>
      <w:r w:rsidR="004D1C16">
        <w:rPr>
          <w:b/>
          <w:snapToGrid/>
          <w:sz w:val="22"/>
          <w:szCs w:val="22"/>
          <w:lang w:val="en-GB"/>
        </w:rPr>
        <w:t>5</w:t>
      </w:r>
      <w:r w:rsidRPr="00111303">
        <w:rPr>
          <w:b/>
          <w:snapToGrid/>
          <w:sz w:val="22"/>
          <w:szCs w:val="22"/>
          <w:lang w:val="en-GB"/>
        </w:rPr>
        <w:t>.0</w:t>
      </w:r>
      <w:r w:rsidR="004D1C16">
        <w:rPr>
          <w:b/>
          <w:snapToGrid/>
          <w:sz w:val="22"/>
          <w:szCs w:val="22"/>
          <w:lang w:val="en-GB"/>
        </w:rPr>
        <w:t>4</w:t>
      </w:r>
      <w:r w:rsidRPr="00111303">
        <w:rPr>
          <w:b/>
          <w:snapToGrid/>
          <w:sz w:val="22"/>
          <w:szCs w:val="22"/>
          <w:lang w:val="en-GB"/>
        </w:rPr>
        <w:t>.202</w:t>
      </w:r>
      <w:r w:rsidR="00923CFE" w:rsidRPr="00111303">
        <w:rPr>
          <w:b/>
          <w:snapToGrid/>
          <w:sz w:val="22"/>
          <w:szCs w:val="22"/>
          <w:lang w:val="en-GB"/>
        </w:rPr>
        <w:t>1</w:t>
      </w:r>
      <w:r w:rsidRPr="00923CFE">
        <w:rPr>
          <w:b/>
          <w:snapToGrid/>
          <w:sz w:val="22"/>
          <w:szCs w:val="22"/>
          <w:lang w:val="en-GB"/>
        </w:rPr>
        <w:t xml:space="preserve"> </w:t>
      </w:r>
      <w:r w:rsidRPr="00923CFE">
        <w:rPr>
          <w:snapToGrid/>
          <w:sz w:val="22"/>
          <w:szCs w:val="22"/>
          <w:lang w:val="en-GB"/>
        </w:rPr>
        <w:t xml:space="preserve">which period is 5 years counting from </w:t>
      </w:r>
      <w:r w:rsidRPr="00923CFE">
        <w:rPr>
          <w:snapToGrid/>
          <w:sz w:val="22"/>
          <w:szCs w:val="22"/>
          <w:lang w:val="en-GB"/>
        </w:rPr>
        <w:lastRenderedPageBreak/>
        <w:t xml:space="preserve">the submission deadline. The contracting authority reserves the right to ask for copies of certificates of final acceptance signed by the supervisors/contracting authority of the contracts and/or projects concerned. </w:t>
      </w:r>
    </w:p>
    <w:p w14:paraId="16F41BD0" w14:textId="77777777" w:rsidR="00285838" w:rsidRPr="00285838" w:rsidRDefault="00285838" w:rsidP="00545713">
      <w:pPr>
        <w:spacing w:before="240" w:after="120"/>
        <w:ind w:left="567"/>
        <w:jc w:val="both"/>
        <w:outlineLvl w:val="2"/>
        <w:rPr>
          <w:b/>
          <w:snapToGrid/>
          <w:sz w:val="22"/>
          <w:szCs w:val="22"/>
          <w:lang w:val="en-GB"/>
        </w:rPr>
      </w:pPr>
      <w:r w:rsidRPr="00285838">
        <w:rPr>
          <w:b/>
          <w:snapToGrid/>
          <w:sz w:val="22"/>
          <w:szCs w:val="22"/>
          <w:lang w:val="en-GB"/>
        </w:rPr>
        <w:t>Contract and/or project and/or activity of the same nature and complexity is considered a contract and/or project and/or activity for construction and/or reconstruction and/or repair of parks and/or of gardens and/or of green areas and/or of recreation areas and/or of other equivalent areas.</w:t>
      </w:r>
    </w:p>
    <w:p w14:paraId="3949CE74" w14:textId="2DDBC72E" w:rsidR="00C6653D" w:rsidRPr="00923CFE" w:rsidRDefault="00C6653D" w:rsidP="00545713">
      <w:pPr>
        <w:spacing w:before="240" w:after="120"/>
        <w:ind w:left="567"/>
        <w:jc w:val="both"/>
        <w:outlineLvl w:val="2"/>
        <w:rPr>
          <w:snapToGrid/>
          <w:sz w:val="22"/>
          <w:szCs w:val="22"/>
          <w:lang w:val="en-GB"/>
        </w:rPr>
      </w:pPr>
      <w:r w:rsidRPr="00923CFE">
        <w:rPr>
          <w:snapToGrid/>
          <w:sz w:val="22"/>
          <w:szCs w:val="22"/>
          <w:lang w:val="en-GB"/>
        </w:rPr>
        <w:t>The documents with which compliance with the technical and profes</w:t>
      </w:r>
      <w:r w:rsidR="00111303">
        <w:rPr>
          <w:snapToGrid/>
          <w:sz w:val="22"/>
          <w:szCs w:val="22"/>
          <w:lang w:val="en-GB"/>
        </w:rPr>
        <w:t>sional capacity under point 14.c</w:t>
      </w:r>
      <w:r w:rsidRPr="00923CFE">
        <w:rPr>
          <w:snapToGrid/>
          <w:sz w:val="22"/>
          <w:szCs w:val="22"/>
          <w:lang w:val="en-GB"/>
        </w:rPr>
        <w:t xml:space="preserve">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5F81F8E1" w14:textId="1D372D5D" w:rsidR="00C6653D" w:rsidRPr="00923CFE" w:rsidRDefault="00C6653D" w:rsidP="00545713">
      <w:pPr>
        <w:spacing w:before="240" w:after="120"/>
        <w:ind w:left="567"/>
        <w:jc w:val="both"/>
        <w:outlineLvl w:val="2"/>
        <w:rPr>
          <w:snapToGrid/>
          <w:sz w:val="22"/>
          <w:szCs w:val="22"/>
          <w:lang w:val="en-GB"/>
        </w:rPr>
      </w:pPr>
      <w:r w:rsidRPr="00923CFE">
        <w:rPr>
          <w:b/>
          <w:i/>
          <w:snapToGrid/>
          <w:sz w:val="22"/>
          <w:szCs w:val="22"/>
          <w:lang w:val="en-GB"/>
        </w:rPr>
        <w:t>14.</w:t>
      </w:r>
      <w:r w:rsidR="00111303">
        <w:rPr>
          <w:b/>
          <w:i/>
          <w:snapToGrid/>
          <w:sz w:val="22"/>
          <w:szCs w:val="22"/>
          <w:lang w:val="en-GB"/>
        </w:rPr>
        <w:t>d</w:t>
      </w:r>
      <w:r w:rsidRPr="00923CFE">
        <w:rPr>
          <w:b/>
          <w:i/>
          <w:snapToGrid/>
          <w:sz w:val="22"/>
          <w:szCs w:val="22"/>
          <w:lang w:val="en-GB"/>
        </w:rPr>
        <w:t xml:space="preserve">. </w:t>
      </w:r>
      <w:r w:rsidRPr="00923CFE">
        <w:rPr>
          <w:snapToGrid/>
          <w:sz w:val="22"/>
          <w:szCs w:val="22"/>
          <w:lang w:val="en-GB"/>
        </w:rPr>
        <w:t>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w:t>
      </w:r>
      <w:r w:rsidRPr="00923CFE">
        <w:rPr>
          <w:snapToGrid/>
          <w:sz w:val="22"/>
          <w:szCs w:val="22"/>
          <w:lang w:val="bg-BG"/>
        </w:rPr>
        <w:t xml:space="preserve"> </w:t>
      </w:r>
      <w:r w:rsidRPr="00923CFE">
        <w:rPr>
          <w:snapToGrid/>
          <w:sz w:val="22"/>
          <w:szCs w:val="22"/>
          <w:lang w:val="en-US"/>
        </w:rPr>
        <w:t>construction</w:t>
      </w:r>
      <w:r w:rsidRPr="00923CFE">
        <w:rPr>
          <w:snapToGrid/>
          <w:sz w:val="22"/>
          <w:szCs w:val="22"/>
          <w:lang w:val="en-GB"/>
        </w:rPr>
        <w:t xml:space="preserve"> site is </w:t>
      </w:r>
      <w:r w:rsidRPr="00111303">
        <w:rPr>
          <w:snapToGrid/>
          <w:sz w:val="22"/>
          <w:szCs w:val="22"/>
          <w:lang w:val="en-GB"/>
        </w:rPr>
        <w:t>I</w:t>
      </w:r>
      <w:r w:rsidR="008E7E00" w:rsidRPr="00111303">
        <w:rPr>
          <w:snapToGrid/>
          <w:sz w:val="22"/>
          <w:szCs w:val="22"/>
          <w:lang w:val="en-US"/>
        </w:rPr>
        <w:t>V</w:t>
      </w:r>
      <w:r w:rsidR="008E7E00" w:rsidRPr="00111303">
        <w:rPr>
          <w:snapToGrid/>
          <w:sz w:val="22"/>
          <w:szCs w:val="22"/>
          <w:vertAlign w:val="superscript"/>
          <w:lang w:val="en-US"/>
        </w:rPr>
        <w:t>th</w:t>
      </w:r>
      <w:r w:rsidRPr="00111303">
        <w:rPr>
          <w:snapToGrid/>
          <w:sz w:val="22"/>
          <w:szCs w:val="22"/>
          <w:lang w:val="en-GB"/>
        </w:rPr>
        <w:t xml:space="preserve"> /</w:t>
      </w:r>
      <w:r w:rsidR="008E7E00" w:rsidRPr="00111303">
        <w:rPr>
          <w:snapToGrid/>
          <w:sz w:val="22"/>
          <w:szCs w:val="22"/>
          <w:lang w:val="en-GB"/>
        </w:rPr>
        <w:t>fourth</w:t>
      </w:r>
      <w:r w:rsidRPr="00111303">
        <w:rPr>
          <w:snapToGrid/>
          <w:sz w:val="22"/>
          <w:szCs w:val="22"/>
          <w:lang w:val="en-GB"/>
        </w:rPr>
        <w:t xml:space="preserve">/ category as per art. 137, par. 1, point </w:t>
      </w:r>
      <w:r w:rsidR="008E7E00" w:rsidRPr="00111303">
        <w:rPr>
          <w:snapToGrid/>
          <w:sz w:val="22"/>
          <w:szCs w:val="22"/>
          <w:lang w:val="en-US"/>
        </w:rPr>
        <w:t>4</w:t>
      </w:r>
      <w:r w:rsidRPr="00111303">
        <w:rPr>
          <w:snapToGrid/>
          <w:sz w:val="22"/>
          <w:szCs w:val="22"/>
          <w:lang w:val="en-GB"/>
        </w:rPr>
        <w:t>, letter «</w:t>
      </w:r>
      <w:r w:rsidR="00111303" w:rsidRPr="00111303">
        <w:rPr>
          <w:snapToGrid/>
          <w:sz w:val="22"/>
          <w:szCs w:val="22"/>
          <w:lang w:val="en-GB"/>
        </w:rPr>
        <w:t>d</w:t>
      </w:r>
      <w:r w:rsidRPr="00111303">
        <w:rPr>
          <w:snapToGrid/>
          <w:sz w:val="22"/>
          <w:szCs w:val="22"/>
          <w:lang w:val="en-GB"/>
        </w:rPr>
        <w:t>» of the Spatial Planning Law (SPL) and it is f</w:t>
      </w:r>
      <w:r w:rsidR="00016BD2" w:rsidRPr="00111303">
        <w:rPr>
          <w:snapToGrid/>
          <w:sz w:val="22"/>
          <w:szCs w:val="22"/>
          <w:lang w:val="en-US"/>
        </w:rPr>
        <w:t>ourth</w:t>
      </w:r>
      <w:r w:rsidRPr="00111303">
        <w:rPr>
          <w:snapToGrid/>
          <w:sz w:val="22"/>
          <w:szCs w:val="22"/>
          <w:lang w:val="en-GB"/>
        </w:rPr>
        <w:t xml:space="preserve"> group as per art. 5, par. 6, point </w:t>
      </w:r>
      <w:r w:rsidR="00016BD2" w:rsidRPr="00111303">
        <w:rPr>
          <w:snapToGrid/>
          <w:sz w:val="22"/>
          <w:szCs w:val="22"/>
          <w:lang w:val="bg-BG"/>
        </w:rPr>
        <w:t>4.4.1</w:t>
      </w:r>
      <w:r w:rsidRPr="00111303">
        <w:rPr>
          <w:snapToGrid/>
          <w:sz w:val="22"/>
          <w:szCs w:val="22"/>
          <w:lang w:val="en-GB"/>
        </w:rPr>
        <w:t>. of the Rules and Procedure for Recording and Keeping of the Central Register of Professional Builders.</w:t>
      </w:r>
    </w:p>
    <w:p w14:paraId="16D082C5" w14:textId="77777777" w:rsidR="00833DA6" w:rsidRPr="005E2279" w:rsidRDefault="00833DA6" w:rsidP="00923CFE">
      <w:pPr>
        <w:ind w:left="1134" w:hanging="284"/>
        <w:jc w:val="both"/>
        <w:rPr>
          <w:sz w:val="22"/>
          <w:u w:val="single"/>
          <w:lang w:val="en-GB"/>
        </w:rPr>
      </w:pPr>
      <w:r w:rsidRPr="005E2279">
        <w:rPr>
          <w:sz w:val="22"/>
          <w:u w:val="single"/>
          <w:lang w:val="en-GB"/>
        </w:rPr>
        <w:t>Capacity-providing entities:</w:t>
      </w:r>
    </w:p>
    <w:p w14:paraId="58357EE1" w14:textId="77777777" w:rsidR="00833DA6" w:rsidRPr="005E2279" w:rsidRDefault="00833DA6" w:rsidP="00923CFE">
      <w:pPr>
        <w:jc w:val="both"/>
        <w:rPr>
          <w:sz w:val="22"/>
          <w:lang w:val="en-GB"/>
        </w:rPr>
      </w:pPr>
      <w:r w:rsidRPr="005E2279">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17516A3D" w14:textId="77777777" w:rsidR="00833DA6" w:rsidRPr="005E2279" w:rsidRDefault="00833DA6" w:rsidP="00923CFE">
      <w:pPr>
        <w:jc w:val="both"/>
        <w:rPr>
          <w:sz w:val="22"/>
          <w:lang w:val="en-GB"/>
        </w:rPr>
      </w:pPr>
      <w:r w:rsidRPr="005E2279">
        <w:rPr>
          <w:sz w:val="22"/>
          <w:lang w:val="en-GB"/>
        </w:rPr>
        <w:t>With regard to technical and professional criteria, a tenderer may only rely on the capacities of other entities where the latter will perform the works for which these capacities are required.</w:t>
      </w:r>
    </w:p>
    <w:p w14:paraId="29655A3D" w14:textId="77777777" w:rsidR="00833DA6" w:rsidRPr="005E2279" w:rsidRDefault="00833DA6" w:rsidP="00923CFE">
      <w:pPr>
        <w:jc w:val="both"/>
        <w:rPr>
          <w:sz w:val="22"/>
          <w:highlight w:val="yellow"/>
          <w:lang w:val="en-GB"/>
        </w:rPr>
      </w:pPr>
      <w:r w:rsidRPr="005E2279">
        <w:rPr>
          <w:sz w:val="22"/>
          <w:lang w:val="en-GB"/>
        </w:rPr>
        <w:lastRenderedPageBreak/>
        <w:t>With regard to economic and financial criteria, the entities upon whose capacity the tenderer relies, become jointly and severally liable for the performance of the contract.</w:t>
      </w:r>
    </w:p>
    <w:p w14:paraId="2B6593FB" w14:textId="13BDC2F9" w:rsidR="00833DA6" w:rsidRPr="00016BD2" w:rsidRDefault="008A0A49" w:rsidP="00923CFE">
      <w:pPr>
        <w:snapToGrid w:val="0"/>
        <w:spacing w:after="0"/>
        <w:ind w:right="360"/>
        <w:jc w:val="both"/>
        <w:rPr>
          <w:sz w:val="20"/>
          <w:szCs w:val="18"/>
          <w:highlight w:val="yellow"/>
          <w:lang w:val="bg-BG"/>
        </w:rPr>
      </w:pPr>
      <w:r w:rsidRPr="00016BD2">
        <w:rPr>
          <w:sz w:val="22"/>
          <w:szCs w:val="18"/>
          <w:lang w:val="en-GB"/>
        </w:rPr>
        <w:t xml:space="preserve">Financial data to be provided by the tenderer in relation to the selection criteria must be expressed in </w:t>
      </w:r>
      <w:r w:rsidR="00923CFE" w:rsidRPr="00016BD2">
        <w:rPr>
          <w:sz w:val="22"/>
          <w:szCs w:val="18"/>
          <w:lang w:val="en-US"/>
        </w:rPr>
        <w:t>BGN</w:t>
      </w:r>
      <w:r w:rsidRPr="00016BD2">
        <w:rPr>
          <w:sz w:val="22"/>
          <w:szCs w:val="18"/>
          <w:lang w:val="en-GB"/>
        </w:rPr>
        <w:t xml:space="preserve">. If applicable, where a candidate refers to amounts originally expressed in a different currency, the conversion to </w:t>
      </w:r>
      <w:r w:rsidR="00923CFE" w:rsidRPr="00016BD2">
        <w:rPr>
          <w:sz w:val="22"/>
          <w:szCs w:val="18"/>
          <w:lang w:val="en-GB"/>
        </w:rPr>
        <w:t>BGN</w:t>
      </w:r>
      <w:r w:rsidRPr="00016BD2">
        <w:rPr>
          <w:sz w:val="22"/>
          <w:szCs w:val="18"/>
          <w:lang w:val="en-GB"/>
        </w:rPr>
        <w:t xml:space="preserve"> shall be made in accordance with the InforEuro exchange rate of </w:t>
      </w:r>
      <w:r w:rsidR="004D1C16">
        <w:rPr>
          <w:b/>
          <w:bCs/>
          <w:sz w:val="22"/>
          <w:szCs w:val="18"/>
          <w:lang w:val="en-GB"/>
        </w:rPr>
        <w:t>MARCH</w:t>
      </w:r>
      <w:r w:rsidR="00923CFE" w:rsidRPr="00016BD2">
        <w:rPr>
          <w:b/>
          <w:bCs/>
          <w:sz w:val="22"/>
          <w:szCs w:val="18"/>
          <w:lang w:val="en-GB"/>
        </w:rPr>
        <w:t xml:space="preserve"> 2021</w:t>
      </w:r>
      <w:r w:rsidRPr="00016BD2">
        <w:rPr>
          <w:sz w:val="22"/>
          <w:szCs w:val="18"/>
          <w:lang w:val="en-GB"/>
        </w:rPr>
        <w:t xml:space="preserve">, which can be found at the following address: </w:t>
      </w:r>
      <w:hyperlink r:id="rId8" w:history="1">
        <w:r w:rsidRPr="00016BD2">
          <w:rPr>
            <w:rStyle w:val="Hyperlink"/>
            <w:sz w:val="22"/>
            <w:szCs w:val="18"/>
            <w:lang w:val="en-GB"/>
          </w:rPr>
          <w:t>http://ec.europa.eu/budget/graphs/inforeuro.html</w:t>
        </w:r>
      </w:hyperlink>
      <w:r w:rsidRPr="00016BD2">
        <w:rPr>
          <w:sz w:val="22"/>
          <w:szCs w:val="18"/>
          <w:lang w:val="en-GB"/>
        </w:rPr>
        <w:t>.</w:t>
      </w:r>
    </w:p>
    <w:p w14:paraId="72EAD567" w14:textId="77777777" w:rsidR="002139C6" w:rsidRPr="005E2279" w:rsidRDefault="002139C6" w:rsidP="00923CFE">
      <w:pPr>
        <w:pStyle w:val="PRAGHeading2"/>
        <w:jc w:val="both"/>
        <w:rPr>
          <w:rStyle w:val="Strong"/>
          <w:sz w:val="22"/>
          <w:szCs w:val="22"/>
          <w:lang w:val="en-GB"/>
        </w:rPr>
      </w:pPr>
      <w:r w:rsidRPr="005E2279">
        <w:rPr>
          <w:rStyle w:val="Strong"/>
          <w:sz w:val="22"/>
          <w:szCs w:val="22"/>
          <w:lang w:val="en-GB"/>
        </w:rPr>
        <w:t>Award criteria</w:t>
      </w:r>
    </w:p>
    <w:p w14:paraId="3609CCBA" w14:textId="77777777" w:rsidR="00492F3A" w:rsidRPr="005E2279" w:rsidRDefault="00492F3A" w:rsidP="00016BD2">
      <w:pPr>
        <w:jc w:val="both"/>
        <w:rPr>
          <w:sz w:val="22"/>
          <w:lang w:val="en-GB"/>
        </w:rPr>
      </w:pPr>
      <w:r w:rsidRPr="005E2279">
        <w:rPr>
          <w:sz w:val="22"/>
          <w:lang w:val="en-GB"/>
        </w:rPr>
        <w:t>The sole award criterion will be the price</w:t>
      </w:r>
      <w:r w:rsidR="00484326" w:rsidRPr="005E2279">
        <w:rPr>
          <w:sz w:val="22"/>
          <w:lang w:val="en-GB"/>
        </w:rPr>
        <w:t>: the most economically advantageous tender is the technically compliant tender with the lowest price</w:t>
      </w:r>
      <w:r w:rsidRPr="005E2279">
        <w:rPr>
          <w:sz w:val="22"/>
          <w:lang w:val="en-GB"/>
        </w:rPr>
        <w:t xml:space="preserve">. </w:t>
      </w:r>
    </w:p>
    <w:p w14:paraId="5DE51A45" w14:textId="77777777" w:rsidR="002139C6" w:rsidRPr="005E2279" w:rsidRDefault="00F839CB" w:rsidP="00923CFE">
      <w:pPr>
        <w:jc w:val="both"/>
        <w:rPr>
          <w:sz w:val="22"/>
          <w:szCs w:val="22"/>
          <w:lang w:val="en-GB"/>
        </w:rPr>
      </w:pPr>
      <w:r>
        <w:rPr>
          <w:snapToGrid/>
          <w:sz w:val="22"/>
          <w:szCs w:val="22"/>
          <w:lang w:val="en-GB"/>
        </w:rPr>
        <w:pict w14:anchorId="40D02588">
          <v:line id="_x0000_s1027" style="position:absolute;left:0;text-align:left;z-index:2" from="0,12pt" to="468pt,12.05pt" o:allowincell="f" strokecolor="#d4d4d4" strokeweight="1.75pt">
            <v:shadow on="t" origin=",32385f" offset="0,-1pt"/>
          </v:line>
        </w:pict>
      </w:r>
    </w:p>
    <w:p w14:paraId="392DA60E" w14:textId="77777777" w:rsidR="002139C6" w:rsidRPr="005E2279" w:rsidRDefault="002139C6" w:rsidP="00923CFE">
      <w:pPr>
        <w:ind w:left="360"/>
        <w:jc w:val="both"/>
        <w:rPr>
          <w:rStyle w:val="Strong"/>
          <w:sz w:val="22"/>
          <w:szCs w:val="22"/>
          <w:lang w:val="en-GB"/>
        </w:rPr>
      </w:pPr>
      <w:r w:rsidRPr="005E2279">
        <w:rPr>
          <w:rStyle w:val="Strong"/>
          <w:sz w:val="22"/>
          <w:szCs w:val="22"/>
          <w:lang w:val="en-GB"/>
        </w:rPr>
        <w:t>TENDERING</w:t>
      </w:r>
    </w:p>
    <w:p w14:paraId="27482A86" w14:textId="77777777" w:rsidR="007E0D76" w:rsidRPr="005E2279" w:rsidRDefault="007E0D76" w:rsidP="00923CFE">
      <w:pPr>
        <w:pStyle w:val="PRAGHeading2"/>
        <w:jc w:val="both"/>
        <w:rPr>
          <w:rStyle w:val="Strong"/>
          <w:sz w:val="22"/>
          <w:szCs w:val="22"/>
          <w:lang w:val="en-GB"/>
        </w:rPr>
      </w:pPr>
      <w:r w:rsidRPr="005E2279">
        <w:rPr>
          <w:rStyle w:val="Strong"/>
          <w:sz w:val="22"/>
          <w:szCs w:val="22"/>
          <w:lang w:val="en-GB"/>
        </w:rPr>
        <w:t xml:space="preserve">Ethics clauses </w:t>
      </w:r>
    </w:p>
    <w:p w14:paraId="16941C71" w14:textId="77777777" w:rsidR="007E0D76" w:rsidRPr="005E2279" w:rsidRDefault="007E0D76" w:rsidP="00016BD2">
      <w:pPr>
        <w:pStyle w:val="PRAGHeading2"/>
        <w:numPr>
          <w:ilvl w:val="0"/>
          <w:numId w:val="0"/>
        </w:numPr>
        <w:jc w:val="both"/>
        <w:rPr>
          <w:rStyle w:val="Strong"/>
          <w:b w:val="0"/>
          <w:sz w:val="22"/>
          <w:szCs w:val="22"/>
          <w:lang w:val="en-GB"/>
        </w:rPr>
      </w:pPr>
      <w:r w:rsidRPr="005E2279">
        <w:rPr>
          <w:rStyle w:val="Strong"/>
          <w:b w:val="0"/>
          <w:sz w:val="22"/>
          <w:szCs w:val="22"/>
          <w:lang w:val="en-GB"/>
        </w:rPr>
        <w:t xml:space="preserve">The tenderers are subject to the </w:t>
      </w:r>
      <w:r w:rsidR="00C43C3C" w:rsidRPr="005E2279">
        <w:rPr>
          <w:rStyle w:val="Strong"/>
          <w:b w:val="0"/>
          <w:sz w:val="22"/>
          <w:szCs w:val="22"/>
          <w:lang w:val="en-GB"/>
        </w:rPr>
        <w:t>e</w:t>
      </w:r>
      <w:r w:rsidRPr="005E2279">
        <w:rPr>
          <w:rStyle w:val="Strong"/>
          <w:b w:val="0"/>
          <w:sz w:val="22"/>
          <w:szCs w:val="22"/>
          <w:lang w:val="en-GB"/>
        </w:rPr>
        <w:t xml:space="preserve">thics clauses, detailed in Section </w:t>
      </w:r>
      <w:r w:rsidR="00C43C3C" w:rsidRPr="005E2279">
        <w:rPr>
          <w:rStyle w:val="Strong"/>
          <w:b w:val="0"/>
          <w:sz w:val="22"/>
          <w:szCs w:val="22"/>
          <w:lang w:val="en-GB"/>
        </w:rPr>
        <w:t>2.5.6.</w:t>
      </w:r>
      <w:r w:rsidRPr="005E2279">
        <w:rPr>
          <w:rStyle w:val="Strong"/>
          <w:b w:val="0"/>
          <w:sz w:val="22"/>
          <w:szCs w:val="22"/>
          <w:lang w:val="en-GB"/>
        </w:rPr>
        <w:t xml:space="preserve"> of the </w:t>
      </w:r>
      <w:r w:rsidR="00C43C3C" w:rsidRPr="005E2279">
        <w:rPr>
          <w:rStyle w:val="Strong"/>
          <w:b w:val="0"/>
          <w:sz w:val="22"/>
          <w:szCs w:val="22"/>
          <w:lang w:val="en-GB"/>
        </w:rPr>
        <w:t>p</w:t>
      </w:r>
      <w:r w:rsidRPr="005E2279">
        <w:rPr>
          <w:rStyle w:val="Strong"/>
          <w:b w:val="0"/>
          <w:sz w:val="22"/>
          <w:szCs w:val="22"/>
          <w:lang w:val="en-GB"/>
        </w:rPr>
        <w:t xml:space="preserve">ractical </w:t>
      </w:r>
      <w:r w:rsidR="00C43C3C" w:rsidRPr="005E2279">
        <w:rPr>
          <w:rStyle w:val="Strong"/>
          <w:b w:val="0"/>
          <w:sz w:val="22"/>
          <w:szCs w:val="22"/>
          <w:lang w:val="en-GB"/>
        </w:rPr>
        <w:t>g</w:t>
      </w:r>
      <w:r w:rsidRPr="005E2279">
        <w:rPr>
          <w:rStyle w:val="Strong"/>
          <w:b w:val="0"/>
          <w:sz w:val="22"/>
          <w:szCs w:val="22"/>
          <w:lang w:val="en-GB"/>
        </w:rPr>
        <w:t xml:space="preserve">uide. </w:t>
      </w:r>
    </w:p>
    <w:p w14:paraId="4B13D2A6" w14:textId="77777777" w:rsidR="002139C6" w:rsidRPr="005E2279" w:rsidRDefault="002139C6" w:rsidP="00923CFE">
      <w:pPr>
        <w:pStyle w:val="PRAGHeading2"/>
        <w:jc w:val="both"/>
        <w:rPr>
          <w:rStyle w:val="Strong"/>
          <w:sz w:val="22"/>
          <w:szCs w:val="22"/>
          <w:lang w:val="en-GB"/>
        </w:rPr>
      </w:pPr>
      <w:r w:rsidRPr="005E2279">
        <w:rPr>
          <w:rStyle w:val="Strong"/>
          <w:sz w:val="22"/>
          <w:szCs w:val="22"/>
          <w:lang w:val="en-GB"/>
        </w:rPr>
        <w:t>Legal basis</w:t>
      </w:r>
      <w:r w:rsidR="00A95184" w:rsidRPr="005E2279">
        <w:rPr>
          <w:rStyle w:val="FootnoteReference"/>
          <w:b/>
          <w:sz w:val="22"/>
          <w:szCs w:val="22"/>
          <w:lang w:val="en-GB"/>
        </w:rPr>
        <w:footnoteReference w:id="1"/>
      </w:r>
    </w:p>
    <w:p w14:paraId="6F5A76AD" w14:textId="77777777" w:rsidR="00923CFE" w:rsidRPr="00892C69" w:rsidRDefault="00923CFE" w:rsidP="00363A64">
      <w:pPr>
        <w:pStyle w:val="PRAGHeading2"/>
        <w:numPr>
          <w:ilvl w:val="0"/>
          <w:numId w:val="4"/>
        </w:numPr>
        <w:tabs>
          <w:tab w:val="left" w:pos="284"/>
        </w:tabs>
        <w:ind w:left="0" w:firstLine="0"/>
        <w:jc w:val="both"/>
        <w:rPr>
          <w:sz w:val="22"/>
          <w:lang w:val="en-GB" w:eastAsia="ja-JP"/>
        </w:rPr>
      </w:pPr>
      <w:r w:rsidRPr="00892C69">
        <w:rPr>
          <w:sz w:val="22"/>
          <w:lang w:val="en-GB"/>
        </w:rPr>
        <w:t>Regulation</w:t>
      </w:r>
      <w:r w:rsidRPr="00892C69">
        <w:rPr>
          <w:b/>
          <w:bCs/>
          <w:sz w:val="22"/>
          <w:lang w:val="en-GB"/>
        </w:rPr>
        <w:t xml:space="preserve"> </w:t>
      </w:r>
      <w:r w:rsidRPr="00892C69">
        <w:rPr>
          <w:sz w:val="22"/>
          <w:lang w:val="en-GB"/>
        </w:rPr>
        <w:t>(EU) No </w:t>
      </w:r>
      <w:r w:rsidRPr="00892C69">
        <w:rPr>
          <w:sz w:val="22"/>
          <w:lang w:val="en-GB" w:eastAsia="ja-JP"/>
        </w:rPr>
        <w:t xml:space="preserve">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7C87B910" w14:textId="77777777" w:rsidR="00923CFE" w:rsidRPr="00892C69" w:rsidRDefault="00923CFE" w:rsidP="00363A64">
      <w:pPr>
        <w:pStyle w:val="PRAGHeading2"/>
        <w:numPr>
          <w:ilvl w:val="0"/>
          <w:numId w:val="4"/>
        </w:numPr>
        <w:tabs>
          <w:tab w:val="left" w:pos="284"/>
        </w:tabs>
        <w:ind w:left="0" w:firstLine="0"/>
        <w:jc w:val="both"/>
        <w:rPr>
          <w:sz w:val="22"/>
          <w:lang w:val="en-GB"/>
        </w:rPr>
      </w:pPr>
      <w:r w:rsidRPr="00892C69">
        <w:rPr>
          <w:sz w:val="22"/>
          <w:lang w:val="en-GB"/>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14:paraId="7DD3A281" w14:textId="77777777" w:rsidR="00923CFE" w:rsidRPr="00892C69" w:rsidRDefault="00923CFE" w:rsidP="00363A64">
      <w:pPr>
        <w:pStyle w:val="PRAGHeading2"/>
        <w:numPr>
          <w:ilvl w:val="0"/>
          <w:numId w:val="4"/>
        </w:numPr>
        <w:tabs>
          <w:tab w:val="left" w:pos="284"/>
        </w:tabs>
        <w:ind w:left="0" w:firstLine="0"/>
        <w:jc w:val="both"/>
        <w:rPr>
          <w:sz w:val="22"/>
          <w:lang w:val="en-GB"/>
        </w:rPr>
      </w:pPr>
      <w:r w:rsidRPr="00892C69">
        <w:rPr>
          <w:sz w:val="22"/>
          <w:lang w:val="en-GB"/>
        </w:rPr>
        <w:t>Regulation (EU) No 1299/2013 of the European Parliament and of the Council of 17 December 2013 on specific provisions for the support from the European Regional Development Fund to the European territorial cooperation goal;</w:t>
      </w:r>
    </w:p>
    <w:p w14:paraId="3B0E2D45" w14:textId="77777777" w:rsidR="00923CFE" w:rsidRPr="00892C69" w:rsidRDefault="00923CFE" w:rsidP="00363A64">
      <w:pPr>
        <w:pStyle w:val="PRAGHeading2"/>
        <w:numPr>
          <w:ilvl w:val="0"/>
          <w:numId w:val="4"/>
        </w:numPr>
        <w:tabs>
          <w:tab w:val="left" w:pos="284"/>
        </w:tabs>
        <w:ind w:left="0" w:firstLine="0"/>
        <w:jc w:val="both"/>
        <w:rPr>
          <w:sz w:val="22"/>
          <w:lang w:val="en-GB"/>
        </w:rPr>
      </w:pPr>
      <w:r w:rsidRPr="00892C69">
        <w:rPr>
          <w:sz w:val="22"/>
          <w:lang w:val="en-GB"/>
        </w:rPr>
        <w:t>Commission Delegated Regulation (EU) No 481/2014 of 4 March 2014 supplementing Regulation (EU) No 1299/2013 of the European Parliament and of the Council with regard to specific rules on eligibility of expenditure for cooperation programmes;</w:t>
      </w:r>
    </w:p>
    <w:p w14:paraId="29EB7407" w14:textId="77777777" w:rsidR="00923CFE" w:rsidRPr="00892C69" w:rsidRDefault="00923CFE" w:rsidP="00363A64">
      <w:pPr>
        <w:pStyle w:val="PRAGHeading2"/>
        <w:numPr>
          <w:ilvl w:val="0"/>
          <w:numId w:val="4"/>
        </w:numPr>
        <w:tabs>
          <w:tab w:val="left" w:pos="284"/>
        </w:tabs>
        <w:ind w:left="0" w:firstLine="0"/>
        <w:jc w:val="both"/>
        <w:rPr>
          <w:sz w:val="22"/>
          <w:lang w:val="en-GB" w:eastAsia="ja-JP"/>
        </w:rPr>
      </w:pPr>
      <w:r w:rsidRPr="00892C69">
        <w:rPr>
          <w:sz w:val="22"/>
          <w:lang w:val="en-GB" w:eastAsia="ja-JP"/>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48CF00B7" w14:textId="77777777" w:rsidR="00923CFE" w:rsidRPr="00892C69" w:rsidRDefault="00923CFE" w:rsidP="00363A64">
      <w:pPr>
        <w:pStyle w:val="PRAGHeading2"/>
        <w:numPr>
          <w:ilvl w:val="0"/>
          <w:numId w:val="4"/>
        </w:numPr>
        <w:tabs>
          <w:tab w:val="left" w:pos="284"/>
        </w:tabs>
        <w:ind w:left="0" w:firstLine="0"/>
        <w:jc w:val="both"/>
        <w:rPr>
          <w:sz w:val="22"/>
          <w:lang w:val="en-GB"/>
        </w:rPr>
      </w:pPr>
      <w:r w:rsidRPr="00892C69">
        <w:rPr>
          <w:sz w:val="22"/>
          <w:lang w:val="en-GB"/>
        </w:rPr>
        <w:lastRenderedPageBreak/>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485B53F5" w14:textId="77777777" w:rsidR="00923CFE" w:rsidRPr="00892C69" w:rsidRDefault="00923CFE" w:rsidP="00363A64">
      <w:pPr>
        <w:pStyle w:val="PRAGHeading2"/>
        <w:numPr>
          <w:ilvl w:val="0"/>
          <w:numId w:val="4"/>
        </w:numPr>
        <w:tabs>
          <w:tab w:val="left" w:pos="284"/>
        </w:tabs>
        <w:ind w:left="0" w:firstLine="0"/>
        <w:jc w:val="both"/>
        <w:rPr>
          <w:sz w:val="22"/>
          <w:lang w:val="en-GB"/>
        </w:rPr>
      </w:pPr>
      <w:r w:rsidRPr="00181064">
        <w:rPr>
          <w:sz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Pr="00892C69">
        <w:rPr>
          <w:sz w:val="22"/>
          <w:lang w:val="en-GB"/>
        </w:rPr>
        <w:t>;</w:t>
      </w:r>
    </w:p>
    <w:p w14:paraId="72B0B1EC" w14:textId="77777777" w:rsidR="00923CFE" w:rsidRPr="00A00221" w:rsidRDefault="00923CFE" w:rsidP="00363A64">
      <w:pPr>
        <w:pStyle w:val="PRAGHeading2"/>
        <w:numPr>
          <w:ilvl w:val="0"/>
          <w:numId w:val="4"/>
        </w:numPr>
        <w:tabs>
          <w:tab w:val="left" w:pos="284"/>
        </w:tabs>
        <w:ind w:left="0" w:firstLine="0"/>
        <w:jc w:val="both"/>
        <w:rPr>
          <w:lang w:val="en-GB"/>
        </w:rPr>
      </w:pPr>
      <w:r w:rsidRPr="00892C69">
        <w:rPr>
          <w:sz w:val="22"/>
          <w:lang w:val="en-GB"/>
        </w:rPr>
        <w:t>Interreg – IPA CBC Bulgaria – Turkey Programme with ref. No 2014TC16I5CB005, approved by the European Commission with Decision № C (2015) 5280 of 22 July 2015</w:t>
      </w:r>
      <w:r w:rsidRPr="000032FD">
        <w:rPr>
          <w:lang w:val="en-GB"/>
        </w:rPr>
        <w:t>.</w:t>
      </w:r>
    </w:p>
    <w:p w14:paraId="0C868136" w14:textId="77777777" w:rsidR="003C3139" w:rsidRPr="005E2279" w:rsidRDefault="003C3139" w:rsidP="00923CFE">
      <w:pPr>
        <w:pStyle w:val="PRAGHeading2"/>
        <w:jc w:val="both"/>
        <w:rPr>
          <w:rStyle w:val="Strong"/>
          <w:sz w:val="22"/>
          <w:szCs w:val="22"/>
          <w:lang w:val="en-GB"/>
        </w:rPr>
      </w:pPr>
      <w:r w:rsidRPr="005E2279">
        <w:rPr>
          <w:rStyle w:val="Strong"/>
          <w:sz w:val="22"/>
          <w:szCs w:val="22"/>
          <w:lang w:val="en-GB"/>
        </w:rPr>
        <w:t>Appeals</w:t>
      </w:r>
    </w:p>
    <w:p w14:paraId="1F17ABD7" w14:textId="77777777" w:rsidR="003C3139" w:rsidRPr="005E2279" w:rsidRDefault="003C3139" w:rsidP="00016BD2">
      <w:pPr>
        <w:jc w:val="both"/>
        <w:rPr>
          <w:sz w:val="22"/>
          <w:szCs w:val="22"/>
          <w:lang w:val="en-GB"/>
        </w:rPr>
      </w:pPr>
      <w:r w:rsidRPr="005E2279">
        <w:rPr>
          <w:snapToGrid/>
          <w:sz w:val="22"/>
          <w:szCs w:val="22"/>
          <w:lang w:val="en-GB" w:eastAsia="en-GB"/>
        </w:rPr>
        <w:t xml:space="preserve">Tenderers believing that they have been harmed by an error or irregularity during the award process may file a complaint. See further </w:t>
      </w:r>
      <w:r w:rsidR="00921394" w:rsidRPr="005E2279">
        <w:rPr>
          <w:snapToGrid/>
          <w:sz w:val="22"/>
          <w:szCs w:val="22"/>
          <w:lang w:val="en-GB" w:eastAsia="en-GB"/>
        </w:rPr>
        <w:t>S</w:t>
      </w:r>
      <w:r w:rsidRPr="005E2279">
        <w:rPr>
          <w:snapToGrid/>
          <w:sz w:val="22"/>
          <w:szCs w:val="22"/>
          <w:lang w:val="en-GB" w:eastAsia="en-GB"/>
        </w:rPr>
        <w:t xml:space="preserve">ection </w:t>
      </w:r>
      <w:r w:rsidR="00C43C3C" w:rsidRPr="005E2279">
        <w:rPr>
          <w:snapToGrid/>
          <w:sz w:val="22"/>
          <w:szCs w:val="22"/>
          <w:lang w:val="en-GB" w:eastAsia="en-GB"/>
        </w:rPr>
        <w:t>2.12.</w:t>
      </w:r>
      <w:r w:rsidRPr="005E2279">
        <w:rPr>
          <w:snapToGrid/>
          <w:sz w:val="22"/>
          <w:szCs w:val="22"/>
          <w:lang w:val="en-GB" w:eastAsia="en-GB"/>
        </w:rPr>
        <w:t xml:space="preserve"> of the </w:t>
      </w:r>
      <w:r w:rsidR="00C43C3C" w:rsidRPr="005E2279">
        <w:rPr>
          <w:snapToGrid/>
          <w:sz w:val="22"/>
          <w:szCs w:val="22"/>
          <w:lang w:val="en-GB" w:eastAsia="en-GB"/>
        </w:rPr>
        <w:t>p</w:t>
      </w:r>
      <w:r w:rsidRPr="005E2279">
        <w:rPr>
          <w:snapToGrid/>
          <w:sz w:val="22"/>
          <w:szCs w:val="22"/>
          <w:lang w:val="en-GB" w:eastAsia="en-GB"/>
        </w:rPr>
        <w:t xml:space="preserve">ractical </w:t>
      </w:r>
      <w:r w:rsidR="00C43C3C" w:rsidRPr="005E2279">
        <w:rPr>
          <w:snapToGrid/>
          <w:sz w:val="22"/>
          <w:szCs w:val="22"/>
          <w:lang w:val="en-GB" w:eastAsia="en-GB"/>
        </w:rPr>
        <w:t>g</w:t>
      </w:r>
      <w:r w:rsidRPr="005E2279">
        <w:rPr>
          <w:snapToGrid/>
          <w:sz w:val="22"/>
          <w:szCs w:val="22"/>
          <w:lang w:val="en-GB" w:eastAsia="en-GB"/>
        </w:rPr>
        <w:t>uide.</w:t>
      </w:r>
    </w:p>
    <w:p w14:paraId="6A282BEC" w14:textId="77777777" w:rsidR="00B272AC" w:rsidRPr="005E2279" w:rsidRDefault="003C3139" w:rsidP="00923CFE">
      <w:pPr>
        <w:pStyle w:val="PRAGHeading2"/>
        <w:jc w:val="both"/>
        <w:rPr>
          <w:b/>
          <w:sz w:val="22"/>
          <w:szCs w:val="22"/>
          <w:lang w:val="en-GB"/>
        </w:rPr>
      </w:pPr>
      <w:r w:rsidRPr="005E2279">
        <w:rPr>
          <w:b/>
          <w:sz w:val="22"/>
          <w:szCs w:val="22"/>
          <w:lang w:val="en-GB"/>
        </w:rPr>
        <w:t xml:space="preserve">Early </w:t>
      </w:r>
      <w:r w:rsidR="00C43C3C" w:rsidRPr="005E2279">
        <w:rPr>
          <w:b/>
          <w:sz w:val="22"/>
          <w:szCs w:val="22"/>
          <w:lang w:val="en-GB"/>
        </w:rPr>
        <w:t>d</w:t>
      </w:r>
      <w:r w:rsidR="00B272AC" w:rsidRPr="005E2279">
        <w:rPr>
          <w:b/>
          <w:sz w:val="22"/>
          <w:szCs w:val="22"/>
          <w:lang w:val="en-GB"/>
        </w:rPr>
        <w:t>etection a</w:t>
      </w:r>
      <w:r w:rsidRPr="005E2279">
        <w:rPr>
          <w:b/>
          <w:sz w:val="22"/>
          <w:szCs w:val="22"/>
          <w:lang w:val="en-GB"/>
        </w:rPr>
        <w:t xml:space="preserve">nd </w:t>
      </w:r>
      <w:r w:rsidR="00C43C3C" w:rsidRPr="005E2279">
        <w:rPr>
          <w:b/>
          <w:sz w:val="22"/>
          <w:szCs w:val="22"/>
          <w:lang w:val="en-GB"/>
        </w:rPr>
        <w:t>e</w:t>
      </w:r>
      <w:r w:rsidRPr="005E2279">
        <w:rPr>
          <w:b/>
          <w:sz w:val="22"/>
          <w:szCs w:val="22"/>
          <w:lang w:val="en-GB"/>
        </w:rPr>
        <w:t xml:space="preserve">xclusion </w:t>
      </w:r>
      <w:r w:rsidR="00C43C3C" w:rsidRPr="005E2279">
        <w:rPr>
          <w:b/>
          <w:sz w:val="22"/>
          <w:szCs w:val="22"/>
          <w:lang w:val="en-GB"/>
        </w:rPr>
        <w:t>s</w:t>
      </w:r>
      <w:r w:rsidR="00B272AC" w:rsidRPr="005E2279">
        <w:rPr>
          <w:b/>
          <w:sz w:val="22"/>
          <w:szCs w:val="22"/>
          <w:lang w:val="en-GB"/>
        </w:rPr>
        <w:t>ystem</w:t>
      </w:r>
    </w:p>
    <w:p w14:paraId="2229EE41" w14:textId="77777777" w:rsidR="00B272AC" w:rsidRPr="005E2279" w:rsidRDefault="00B272AC" w:rsidP="00016BD2">
      <w:pPr>
        <w:jc w:val="both"/>
        <w:rPr>
          <w:sz w:val="22"/>
          <w:szCs w:val="22"/>
          <w:lang w:val="en-GB"/>
        </w:rPr>
      </w:pPr>
      <w:r w:rsidRPr="005E2279">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sidRPr="005E2279">
        <w:rPr>
          <w:sz w:val="22"/>
          <w:szCs w:val="22"/>
          <w:lang w:val="en-GB"/>
        </w:rPr>
        <w:t>e</w:t>
      </w:r>
      <w:r w:rsidRPr="005E2279">
        <w:rPr>
          <w:sz w:val="22"/>
          <w:szCs w:val="22"/>
          <w:lang w:val="en-GB"/>
        </w:rPr>
        <w:t xml:space="preserve">arly </w:t>
      </w:r>
      <w:r w:rsidR="00C43C3C" w:rsidRPr="005E2279">
        <w:rPr>
          <w:sz w:val="22"/>
          <w:szCs w:val="22"/>
          <w:lang w:val="en-GB"/>
        </w:rPr>
        <w:t>d</w:t>
      </w:r>
      <w:r w:rsidRPr="005E2279">
        <w:rPr>
          <w:sz w:val="22"/>
          <w:szCs w:val="22"/>
          <w:lang w:val="en-GB"/>
        </w:rPr>
        <w:t xml:space="preserve">etection and </w:t>
      </w:r>
      <w:r w:rsidR="00C43C3C" w:rsidRPr="005E2279">
        <w:rPr>
          <w:sz w:val="22"/>
          <w:szCs w:val="22"/>
          <w:lang w:val="en-GB"/>
        </w:rPr>
        <w:t>e</w:t>
      </w:r>
      <w:r w:rsidRPr="005E2279">
        <w:rPr>
          <w:sz w:val="22"/>
          <w:szCs w:val="22"/>
          <w:lang w:val="en-GB"/>
        </w:rPr>
        <w:t xml:space="preserve">xclusion </w:t>
      </w:r>
      <w:r w:rsidR="00C43C3C" w:rsidRPr="005E2279">
        <w:rPr>
          <w:sz w:val="22"/>
          <w:szCs w:val="22"/>
          <w:lang w:val="en-GB"/>
        </w:rPr>
        <w:t>s</w:t>
      </w:r>
      <w:r w:rsidRPr="005E2279">
        <w:rPr>
          <w:sz w:val="22"/>
          <w:szCs w:val="22"/>
          <w:lang w:val="en-GB"/>
        </w:rPr>
        <w:t>ystem (EDES)  and communicated to the persons and entities concerned in relation to the award or the execution of a procurement contract.</w:t>
      </w:r>
    </w:p>
    <w:sectPr w:rsidR="00B272AC" w:rsidRPr="005E2279" w:rsidSect="00CA5398">
      <w:headerReference w:type="default" r:id="rId9"/>
      <w:footerReference w:type="default" r:id="rId10"/>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7011B" w14:textId="77777777" w:rsidR="00F839CB" w:rsidRDefault="00F839CB">
      <w:r>
        <w:separator/>
      </w:r>
    </w:p>
  </w:endnote>
  <w:endnote w:type="continuationSeparator" w:id="0">
    <w:p w14:paraId="4C2B486E" w14:textId="77777777" w:rsidR="00F839CB" w:rsidRDefault="00F83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E5B20" w14:textId="77777777" w:rsidR="008C2210" w:rsidRPr="008C2210" w:rsidRDefault="008C2210" w:rsidP="008C2210">
    <w:pPr>
      <w:pStyle w:val="Footer"/>
      <w:tabs>
        <w:tab w:val="clear" w:pos="4536"/>
        <w:tab w:val="clear" w:pos="9072"/>
        <w:tab w:val="right" w:pos="9356"/>
      </w:tabs>
      <w:spacing w:before="0"/>
      <w:jc w:val="center"/>
      <w:rPr>
        <w:b/>
        <w:i/>
        <w:iCs/>
        <w:sz w:val="18"/>
      </w:rPr>
    </w:pPr>
    <w:bookmarkStart w:id="10" w:name="_Hlk64964022"/>
    <w:r w:rsidRPr="008C2210">
      <w:rPr>
        <w:b/>
        <w:bCs/>
        <w:i/>
        <w:iCs/>
        <w:sz w:val="20"/>
        <w:lang w:val="en-GB"/>
      </w:rPr>
      <w:t>The project is co-funded by EU through the</w:t>
    </w:r>
    <w:r w:rsidRPr="008C2210">
      <w:rPr>
        <w:b/>
        <w:bCs/>
        <w:i/>
        <w:iCs/>
        <w:sz w:val="20"/>
        <w:lang w:val="en-US"/>
      </w:rPr>
      <w:t xml:space="preserve"> </w:t>
    </w:r>
    <w:r w:rsidRPr="008C2210">
      <w:rPr>
        <w:b/>
        <w:bCs/>
        <w:i/>
        <w:iCs/>
        <w:sz w:val="20"/>
        <w:lang w:val="en-GB"/>
      </w:rPr>
      <w:t>Interreg-IPA CBC Bulgaria-Turkey Programme</w:t>
    </w:r>
  </w:p>
  <w:bookmarkEnd w:id="10"/>
  <w:p w14:paraId="4C5CDDAD" w14:textId="77777777"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8D280C">
      <w:rPr>
        <w:rStyle w:val="PageNumber"/>
        <w:noProof/>
        <w:sz w:val="18"/>
        <w:szCs w:val="18"/>
        <w:lang w:val="en-GB"/>
      </w:rPr>
      <w:t>7</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8D280C">
      <w:rPr>
        <w:rStyle w:val="PageNumber"/>
        <w:noProof/>
        <w:sz w:val="18"/>
        <w:szCs w:val="18"/>
        <w:lang w:val="en-GB"/>
      </w:rPr>
      <w:t>7</w:t>
    </w:r>
    <w:r w:rsidR="00B640CA" w:rsidRPr="009B4A52">
      <w:rPr>
        <w:rStyle w:val="PageNumber"/>
        <w:sz w:val="18"/>
        <w:szCs w:val="18"/>
      </w:rPr>
      <w:fldChar w:fldCharType="end"/>
    </w:r>
  </w:p>
  <w:p w14:paraId="21B11DA0"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D53DB" w14:textId="77777777" w:rsidR="00F839CB" w:rsidRDefault="00F839CB">
      <w:r>
        <w:separator/>
      </w:r>
    </w:p>
  </w:footnote>
  <w:footnote w:type="continuationSeparator" w:id="0">
    <w:p w14:paraId="40D668DD" w14:textId="77777777" w:rsidR="00F839CB" w:rsidRDefault="00F839CB">
      <w:r>
        <w:continuationSeparator/>
      </w:r>
    </w:p>
  </w:footnote>
  <w:footnote w:id="1">
    <w:p w14:paraId="66664FC0"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4770"/>
      <w:gridCol w:w="4467"/>
    </w:tblGrid>
    <w:tr w:rsidR="00B858DC" w:rsidRPr="001709CB" w14:paraId="539403B0" w14:textId="77777777" w:rsidTr="005C6D8A">
      <w:trPr>
        <w:jc w:val="center"/>
      </w:trPr>
      <w:tc>
        <w:tcPr>
          <w:tcW w:w="4467" w:type="dxa"/>
        </w:tcPr>
        <w:p w14:paraId="33FB8E01" w14:textId="77777777" w:rsidR="00B858DC" w:rsidRPr="001709CB" w:rsidRDefault="00F839CB" w:rsidP="00B858DC">
          <w:pPr>
            <w:widowControl/>
            <w:tabs>
              <w:tab w:val="center" w:pos="4536"/>
              <w:tab w:val="right" w:pos="9072"/>
            </w:tabs>
            <w:spacing w:before="0" w:after="0"/>
            <w:ind w:left="399"/>
            <w:jc w:val="center"/>
            <w:rPr>
              <w:rFonts w:ascii="Arial" w:hAnsi="Arial"/>
              <w:sz w:val="20"/>
              <w:lang w:val="en-GB"/>
            </w:rPr>
          </w:pPr>
          <w:bookmarkStart w:id="9" w:name="_Hlk64962468"/>
          <w:r>
            <w:rPr>
              <w:noProof/>
              <w:snapToGrid/>
              <w:sz w:val="20"/>
              <w:lang w:val="en-US"/>
            </w:rPr>
            <w:pict w14:anchorId="3270E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07.75pt;height:63.75pt;visibility:visible;mso-wrap-style:square">
                <v:imagedata r:id="rId1" o:title=""/>
              </v:shape>
            </w:pict>
          </w:r>
        </w:p>
      </w:tc>
      <w:tc>
        <w:tcPr>
          <w:tcW w:w="4467" w:type="dxa"/>
        </w:tcPr>
        <w:p w14:paraId="54837E60" w14:textId="45C71C68" w:rsidR="00B858DC" w:rsidRPr="001709CB" w:rsidRDefault="00F839CB" w:rsidP="00B858DC">
          <w:pPr>
            <w:widowControl/>
            <w:tabs>
              <w:tab w:val="center" w:pos="4536"/>
              <w:tab w:val="right" w:pos="9072"/>
            </w:tabs>
            <w:spacing w:before="0" w:after="0"/>
            <w:jc w:val="right"/>
            <w:rPr>
              <w:rFonts w:ascii="Arial" w:hAnsi="Arial"/>
              <w:sz w:val="20"/>
              <w:lang w:val="en-GB"/>
            </w:rPr>
          </w:pPr>
          <w:r>
            <w:rPr>
              <w:rFonts w:ascii="Arial" w:hAnsi="Arial"/>
              <w:noProof/>
              <w:snapToGrid/>
              <w:sz w:val="20"/>
              <w:lang w:val="en-US"/>
            </w:rPr>
            <w:pict w14:anchorId="2FA6FB18">
              <v:shape id="Картина 34" o:spid="_x0000_i1026" type="#_x0000_t75" alt="EU flag - full colour" style="width:101.25pt;height:68.25pt;visibility:visible;mso-wrap-style:square">
                <v:imagedata r:id="rId2" o:title="EU flag - full colour"/>
              </v:shape>
            </w:pict>
          </w:r>
        </w:p>
      </w:tc>
    </w:tr>
    <w:tr w:rsidR="00B858DC" w:rsidRPr="001709CB" w14:paraId="6E282A22" w14:textId="77777777" w:rsidTr="005C6D8A">
      <w:trPr>
        <w:trHeight w:val="80"/>
        <w:jc w:val="center"/>
      </w:trPr>
      <w:tc>
        <w:tcPr>
          <w:tcW w:w="8934" w:type="dxa"/>
          <w:gridSpan w:val="2"/>
        </w:tcPr>
        <w:p w14:paraId="705E5678" w14:textId="4BFF3C8C" w:rsidR="00B858DC" w:rsidRPr="001709CB" w:rsidRDefault="00B858DC" w:rsidP="00B858DC">
          <w:pPr>
            <w:widowControl/>
            <w:spacing w:before="0" w:after="0"/>
            <w:jc w:val="center"/>
            <w:rPr>
              <w:b/>
              <w:i/>
              <w:szCs w:val="22"/>
              <w:lang w:val="en-GB"/>
            </w:rPr>
          </w:pPr>
          <w:r w:rsidRPr="001709CB">
            <w:rPr>
              <w:b/>
              <w:i/>
              <w:sz w:val="20"/>
              <w:szCs w:val="22"/>
              <w:lang w:val="en-GB"/>
            </w:rPr>
            <w:t xml:space="preserve">Project </w:t>
          </w:r>
          <w:r w:rsidR="008C2210" w:rsidRPr="008C2210">
            <w:rPr>
              <w:b/>
              <w:i/>
              <w:sz w:val="20"/>
              <w:szCs w:val="22"/>
            </w:rPr>
            <w:t>CB005.2.21.081</w:t>
          </w:r>
          <w:r w:rsidRPr="001709CB">
            <w:rPr>
              <w:b/>
              <w:i/>
              <w:sz w:val="20"/>
              <w:szCs w:val="22"/>
              <w:lang w:val="en-GB"/>
            </w:rPr>
            <w:t xml:space="preserve"> “</w:t>
          </w:r>
          <w:r w:rsidR="008C2210" w:rsidRPr="008C2210">
            <w:rPr>
              <w:b/>
              <w:i/>
              <w:sz w:val="20"/>
              <w:szCs w:val="22"/>
              <w:lang w:val="en-GB"/>
            </w:rPr>
            <w:t>PathwaYs of bOrderless cUlTure and History - YOUTH</w:t>
          </w:r>
          <w:r w:rsidRPr="001709CB">
            <w:rPr>
              <w:b/>
              <w:i/>
              <w:sz w:val="20"/>
              <w:szCs w:val="22"/>
              <w:lang w:val="en-GB"/>
            </w:rPr>
            <w:t>”</w:t>
          </w:r>
        </w:p>
      </w:tc>
    </w:tr>
    <w:bookmarkEnd w:id="9"/>
  </w:tbl>
  <w:p w14:paraId="39CF4E5F" w14:textId="77777777" w:rsidR="00B858DC" w:rsidRDefault="00B858DC" w:rsidP="00B858DC">
    <w:pPr>
      <w:pStyle w:val="Heade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A560072"/>
    <w:multiLevelType w:val="hybridMultilevel"/>
    <w:tmpl w:val="7F0084E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619844D2"/>
    <w:multiLevelType w:val="hybridMultilevel"/>
    <w:tmpl w:val="3DAA2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6481740"/>
    <w:multiLevelType w:val="hybridMultilevel"/>
    <w:tmpl w:val="4F3E5D6C"/>
    <w:lvl w:ilvl="0" w:tplc="E0DACF0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4"/>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733BD"/>
    <w:rsid w:val="00001D67"/>
    <w:rsid w:val="000132F4"/>
    <w:rsid w:val="000158F3"/>
    <w:rsid w:val="00015F72"/>
    <w:rsid w:val="00016BD2"/>
    <w:rsid w:val="0002576E"/>
    <w:rsid w:val="000361BA"/>
    <w:rsid w:val="00040BD0"/>
    <w:rsid w:val="00046700"/>
    <w:rsid w:val="00047785"/>
    <w:rsid w:val="00057C9E"/>
    <w:rsid w:val="00061733"/>
    <w:rsid w:val="00065E5A"/>
    <w:rsid w:val="00072A47"/>
    <w:rsid w:val="000824D8"/>
    <w:rsid w:val="00090FAB"/>
    <w:rsid w:val="00096962"/>
    <w:rsid w:val="000B5CA1"/>
    <w:rsid w:val="000D17E3"/>
    <w:rsid w:val="000D65F3"/>
    <w:rsid w:val="000E27C4"/>
    <w:rsid w:val="000E3B60"/>
    <w:rsid w:val="000E7FF7"/>
    <w:rsid w:val="000F07CD"/>
    <w:rsid w:val="000F67CD"/>
    <w:rsid w:val="00111303"/>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39C6"/>
    <w:rsid w:val="00226910"/>
    <w:rsid w:val="00240E69"/>
    <w:rsid w:val="0025570B"/>
    <w:rsid w:val="002622DE"/>
    <w:rsid w:val="002654E1"/>
    <w:rsid w:val="00272709"/>
    <w:rsid w:val="00276D41"/>
    <w:rsid w:val="00283DDC"/>
    <w:rsid w:val="00285838"/>
    <w:rsid w:val="00287BD7"/>
    <w:rsid w:val="0029420A"/>
    <w:rsid w:val="002A0F9A"/>
    <w:rsid w:val="002A7B14"/>
    <w:rsid w:val="002B0469"/>
    <w:rsid w:val="002B3ADA"/>
    <w:rsid w:val="002B6113"/>
    <w:rsid w:val="002D75F2"/>
    <w:rsid w:val="002D7868"/>
    <w:rsid w:val="002E09EF"/>
    <w:rsid w:val="002E19A4"/>
    <w:rsid w:val="002E5030"/>
    <w:rsid w:val="002E735D"/>
    <w:rsid w:val="002E7C2B"/>
    <w:rsid w:val="002F1040"/>
    <w:rsid w:val="002F54C8"/>
    <w:rsid w:val="003100BB"/>
    <w:rsid w:val="0031245B"/>
    <w:rsid w:val="00321225"/>
    <w:rsid w:val="00326060"/>
    <w:rsid w:val="00337F6E"/>
    <w:rsid w:val="00341E7E"/>
    <w:rsid w:val="003432DB"/>
    <w:rsid w:val="00344654"/>
    <w:rsid w:val="00345D09"/>
    <w:rsid w:val="00363A64"/>
    <w:rsid w:val="00366082"/>
    <w:rsid w:val="003720EC"/>
    <w:rsid w:val="00383D66"/>
    <w:rsid w:val="00391F9F"/>
    <w:rsid w:val="003923FE"/>
    <w:rsid w:val="003A2491"/>
    <w:rsid w:val="003A51DF"/>
    <w:rsid w:val="003B2B49"/>
    <w:rsid w:val="003B7B6F"/>
    <w:rsid w:val="003C07AC"/>
    <w:rsid w:val="003C3139"/>
    <w:rsid w:val="003E27E0"/>
    <w:rsid w:val="003E5E93"/>
    <w:rsid w:val="0040130C"/>
    <w:rsid w:val="00405ED1"/>
    <w:rsid w:val="00424AD7"/>
    <w:rsid w:val="0043263D"/>
    <w:rsid w:val="00434120"/>
    <w:rsid w:val="004430E0"/>
    <w:rsid w:val="00450828"/>
    <w:rsid w:val="0046267B"/>
    <w:rsid w:val="00465DFA"/>
    <w:rsid w:val="004664C5"/>
    <w:rsid w:val="0047639E"/>
    <w:rsid w:val="00480358"/>
    <w:rsid w:val="00484326"/>
    <w:rsid w:val="00491889"/>
    <w:rsid w:val="00492F3A"/>
    <w:rsid w:val="00494DE2"/>
    <w:rsid w:val="004B1831"/>
    <w:rsid w:val="004B20A1"/>
    <w:rsid w:val="004C0660"/>
    <w:rsid w:val="004C69BC"/>
    <w:rsid w:val="004D0E69"/>
    <w:rsid w:val="004D1C16"/>
    <w:rsid w:val="00507EE8"/>
    <w:rsid w:val="00510229"/>
    <w:rsid w:val="005206B5"/>
    <w:rsid w:val="00522AC4"/>
    <w:rsid w:val="00523CA1"/>
    <w:rsid w:val="00545713"/>
    <w:rsid w:val="005711BD"/>
    <w:rsid w:val="00584DF6"/>
    <w:rsid w:val="005859B6"/>
    <w:rsid w:val="00586A47"/>
    <w:rsid w:val="00586DE6"/>
    <w:rsid w:val="00597BFE"/>
    <w:rsid w:val="005A533C"/>
    <w:rsid w:val="005B54B3"/>
    <w:rsid w:val="005C3A9A"/>
    <w:rsid w:val="005C6D8A"/>
    <w:rsid w:val="005D639E"/>
    <w:rsid w:val="005E2279"/>
    <w:rsid w:val="005E63ED"/>
    <w:rsid w:val="005F7047"/>
    <w:rsid w:val="006027ED"/>
    <w:rsid w:val="00604ABA"/>
    <w:rsid w:val="0063009F"/>
    <w:rsid w:val="00631F1A"/>
    <w:rsid w:val="00647BCC"/>
    <w:rsid w:val="00662A96"/>
    <w:rsid w:val="006718D7"/>
    <w:rsid w:val="00684A6B"/>
    <w:rsid w:val="00694640"/>
    <w:rsid w:val="006A4BA7"/>
    <w:rsid w:val="006C3DBB"/>
    <w:rsid w:val="006C703D"/>
    <w:rsid w:val="006D3CE7"/>
    <w:rsid w:val="006E7CF0"/>
    <w:rsid w:val="006F07E9"/>
    <w:rsid w:val="006F7E78"/>
    <w:rsid w:val="007035F4"/>
    <w:rsid w:val="00705BB4"/>
    <w:rsid w:val="0071048F"/>
    <w:rsid w:val="00712510"/>
    <w:rsid w:val="007163F2"/>
    <w:rsid w:val="00717FCD"/>
    <w:rsid w:val="00721E98"/>
    <w:rsid w:val="00725D52"/>
    <w:rsid w:val="00732672"/>
    <w:rsid w:val="007404FB"/>
    <w:rsid w:val="00740BD2"/>
    <w:rsid w:val="00756D67"/>
    <w:rsid w:val="0076200F"/>
    <w:rsid w:val="00786BBB"/>
    <w:rsid w:val="007A48E8"/>
    <w:rsid w:val="007C4AA9"/>
    <w:rsid w:val="007D6C98"/>
    <w:rsid w:val="007E0D76"/>
    <w:rsid w:val="007E17B2"/>
    <w:rsid w:val="007E50EC"/>
    <w:rsid w:val="007F1638"/>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501D"/>
    <w:rsid w:val="008C2210"/>
    <w:rsid w:val="008D1D32"/>
    <w:rsid w:val="008D280C"/>
    <w:rsid w:val="008D2818"/>
    <w:rsid w:val="008D70D4"/>
    <w:rsid w:val="008E1A09"/>
    <w:rsid w:val="008E7E00"/>
    <w:rsid w:val="008F4B39"/>
    <w:rsid w:val="009006A8"/>
    <w:rsid w:val="0090169E"/>
    <w:rsid w:val="00902EF0"/>
    <w:rsid w:val="009067EA"/>
    <w:rsid w:val="00921394"/>
    <w:rsid w:val="00923CFE"/>
    <w:rsid w:val="00925E55"/>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6682"/>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AF6D5D"/>
    <w:rsid w:val="00B022FD"/>
    <w:rsid w:val="00B05F1D"/>
    <w:rsid w:val="00B159D6"/>
    <w:rsid w:val="00B24E1F"/>
    <w:rsid w:val="00B272AC"/>
    <w:rsid w:val="00B27EF0"/>
    <w:rsid w:val="00B3535B"/>
    <w:rsid w:val="00B45CF4"/>
    <w:rsid w:val="00B47C02"/>
    <w:rsid w:val="00B52B1C"/>
    <w:rsid w:val="00B640CA"/>
    <w:rsid w:val="00B7405D"/>
    <w:rsid w:val="00B76C69"/>
    <w:rsid w:val="00B83745"/>
    <w:rsid w:val="00B853C8"/>
    <w:rsid w:val="00B85525"/>
    <w:rsid w:val="00B858DC"/>
    <w:rsid w:val="00B86369"/>
    <w:rsid w:val="00B912C2"/>
    <w:rsid w:val="00B955AF"/>
    <w:rsid w:val="00B95EFC"/>
    <w:rsid w:val="00BA0AC6"/>
    <w:rsid w:val="00BC23AA"/>
    <w:rsid w:val="00BC6046"/>
    <w:rsid w:val="00BD11C0"/>
    <w:rsid w:val="00BD3B9D"/>
    <w:rsid w:val="00BD63A4"/>
    <w:rsid w:val="00BE3363"/>
    <w:rsid w:val="00BE73F2"/>
    <w:rsid w:val="00C038FD"/>
    <w:rsid w:val="00C37BDC"/>
    <w:rsid w:val="00C37CFF"/>
    <w:rsid w:val="00C43C3C"/>
    <w:rsid w:val="00C6653D"/>
    <w:rsid w:val="00C701B4"/>
    <w:rsid w:val="00C733BD"/>
    <w:rsid w:val="00C74850"/>
    <w:rsid w:val="00C8042E"/>
    <w:rsid w:val="00CA2F80"/>
    <w:rsid w:val="00CA5398"/>
    <w:rsid w:val="00CA5B6F"/>
    <w:rsid w:val="00CC44B2"/>
    <w:rsid w:val="00CC45C3"/>
    <w:rsid w:val="00CD07AD"/>
    <w:rsid w:val="00CE207E"/>
    <w:rsid w:val="00CE3C40"/>
    <w:rsid w:val="00CF42ED"/>
    <w:rsid w:val="00D0640B"/>
    <w:rsid w:val="00D101C4"/>
    <w:rsid w:val="00D131A9"/>
    <w:rsid w:val="00D1442E"/>
    <w:rsid w:val="00D275AD"/>
    <w:rsid w:val="00D456AF"/>
    <w:rsid w:val="00D4769A"/>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EC2"/>
    <w:rsid w:val="00DF392C"/>
    <w:rsid w:val="00E1672F"/>
    <w:rsid w:val="00E17B77"/>
    <w:rsid w:val="00E2178D"/>
    <w:rsid w:val="00E25B17"/>
    <w:rsid w:val="00E267B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64"/>
    <w:rsid w:val="00F07EE8"/>
    <w:rsid w:val="00F135F5"/>
    <w:rsid w:val="00F138A0"/>
    <w:rsid w:val="00F26109"/>
    <w:rsid w:val="00F333B3"/>
    <w:rsid w:val="00F36633"/>
    <w:rsid w:val="00F562AD"/>
    <w:rsid w:val="00F625C1"/>
    <w:rsid w:val="00F642CD"/>
    <w:rsid w:val="00F64C97"/>
    <w:rsid w:val="00F67089"/>
    <w:rsid w:val="00F839CB"/>
    <w:rsid w:val="00F90205"/>
    <w:rsid w:val="00F96F61"/>
    <w:rsid w:val="00FA2AA9"/>
    <w:rsid w:val="00FB1110"/>
    <w:rsid w:val="00FC2F86"/>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02D2A"/>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rPr>
  </w:style>
  <w:style w:type="paragraph" w:styleId="Heading1">
    <w:name w:val="heading 1"/>
    <w:basedOn w:val="Normal"/>
    <w:next w:val="Normal"/>
    <w:link w:val="Heading1Char"/>
    <w:autoRedefine/>
    <w:qFormat/>
    <w:rsid w:val="002B0469"/>
    <w:pPr>
      <w:keepNext/>
      <w:widowControl/>
      <w:numPr>
        <w:numId w:val="2"/>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2"/>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2"/>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2"/>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2"/>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2"/>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2"/>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2"/>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2"/>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Heading1Char">
    <w:name w:val="Heading 1 Char"/>
    <w:link w:val="Heading1"/>
    <w:rsid w:val="002B0469"/>
    <w:rPr>
      <w:b/>
      <w:bCs/>
      <w:caps/>
      <w:snapToGrid w:val="0"/>
      <w:sz w:val="30"/>
      <w:szCs w:val="22"/>
      <w:lang w:val="en-GB"/>
    </w:rPr>
  </w:style>
  <w:style w:type="character" w:customStyle="1" w:styleId="Heading2Char">
    <w:name w:val="Heading 2 Char"/>
    <w:link w:val="Heading2"/>
    <w:rsid w:val="002B0469"/>
    <w:rPr>
      <w:rFonts w:ascii="Times New Roman Bold" w:hAnsi="Times New Roman Bold"/>
      <w:b/>
      <w:snapToGrid w:val="0"/>
      <w:sz w:val="22"/>
      <w:szCs w:val="22"/>
      <w:lang w:val="x-none"/>
    </w:rPr>
  </w:style>
  <w:style w:type="character" w:customStyle="1" w:styleId="Heading3Char">
    <w:name w:val="Heading 3 Char"/>
    <w:link w:val="Heading3"/>
    <w:rsid w:val="002B0469"/>
    <w:rPr>
      <w:sz w:val="22"/>
      <w:szCs w:val="22"/>
      <w:lang w:val="x-none"/>
    </w:rPr>
  </w:style>
  <w:style w:type="character" w:customStyle="1" w:styleId="Heading4Char">
    <w:name w:val="Heading 4 Char"/>
    <w:link w:val="Heading4"/>
    <w:rsid w:val="002B0469"/>
    <w:rPr>
      <w:snapToGrid w:val="0"/>
      <w:sz w:val="22"/>
      <w:szCs w:val="22"/>
      <w:lang w:val="en-GB"/>
    </w:rPr>
  </w:style>
  <w:style w:type="character" w:customStyle="1" w:styleId="Heading5Char">
    <w:name w:val="Heading 5 Char"/>
    <w:link w:val="Heading5"/>
    <w:rsid w:val="002B0469"/>
    <w:rPr>
      <w:snapToGrid w:val="0"/>
      <w:sz w:val="22"/>
      <w:szCs w:val="22"/>
      <w:lang w:val="en-GB"/>
    </w:rPr>
  </w:style>
  <w:style w:type="character" w:customStyle="1" w:styleId="Heading6Char">
    <w:name w:val="Heading 6 Char"/>
    <w:link w:val="Heading6"/>
    <w:rsid w:val="002B0469"/>
    <w:rPr>
      <w:rFonts w:ascii="Calibri" w:hAnsi="Calibri"/>
      <w:b/>
      <w:bCs/>
      <w:snapToGrid w:val="0"/>
      <w:sz w:val="22"/>
      <w:szCs w:val="22"/>
      <w:lang w:val="x-none"/>
    </w:rPr>
  </w:style>
  <w:style w:type="character" w:customStyle="1" w:styleId="Heading7Char">
    <w:name w:val="Heading 7 Char"/>
    <w:link w:val="Heading7"/>
    <w:rsid w:val="002B0469"/>
    <w:rPr>
      <w:rFonts w:ascii="Arial" w:hAnsi="Arial"/>
      <w:b/>
      <w:snapToGrid w:val="0"/>
      <w:color w:val="008000"/>
      <w:sz w:val="32"/>
      <w:lang w:val="en-GB"/>
    </w:rPr>
  </w:style>
  <w:style w:type="character" w:customStyle="1" w:styleId="Heading8Char">
    <w:name w:val="Heading 8 Char"/>
    <w:link w:val="Heading8"/>
    <w:rsid w:val="002B0469"/>
    <w:rPr>
      <w:rFonts w:ascii="Arial" w:hAnsi="Arial"/>
      <w:b/>
      <w:snapToGrid w:val="0"/>
      <w:sz w:val="22"/>
      <w:lang w:val="en-GB"/>
    </w:rPr>
  </w:style>
  <w:style w:type="character" w:customStyle="1" w:styleId="Heading9Char">
    <w:name w:val="Heading 9 Char"/>
    <w:link w:val="Heading9"/>
    <w:rsid w:val="002B0469"/>
    <w:rPr>
      <w:rFonts w:ascii="Cambria" w:hAnsi="Cambria"/>
      <w:snapToGrid w:val="0"/>
      <w:sz w:val="22"/>
      <w:szCs w:val="22"/>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799373">
      <w:bodyDiv w:val="1"/>
      <w:marLeft w:val="0"/>
      <w:marRight w:val="0"/>
      <w:marTop w:val="0"/>
      <w:marBottom w:val="0"/>
      <w:divBdr>
        <w:top w:val="none" w:sz="0" w:space="0" w:color="auto"/>
        <w:left w:val="none" w:sz="0" w:space="0" w:color="auto"/>
        <w:bottom w:val="none" w:sz="0" w:space="0" w:color="auto"/>
        <w:right w:val="none" w:sz="0" w:space="0" w:color="auto"/>
      </w:divBdr>
    </w:div>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719743349">
      <w:bodyDiv w:val="1"/>
      <w:marLeft w:val="0"/>
      <w:marRight w:val="0"/>
      <w:marTop w:val="0"/>
      <w:marBottom w:val="0"/>
      <w:divBdr>
        <w:top w:val="none" w:sz="0" w:space="0" w:color="auto"/>
        <w:left w:val="none" w:sz="0" w:space="0" w:color="auto"/>
        <w:bottom w:val="none" w:sz="0" w:space="0" w:color="auto"/>
        <w:right w:val="none" w:sz="0" w:space="0" w:color="auto"/>
      </w:divBdr>
    </w:div>
    <w:div w:id="1828747499">
      <w:bodyDiv w:val="1"/>
      <w:marLeft w:val="0"/>
      <w:marRight w:val="0"/>
      <w:marTop w:val="0"/>
      <w:marBottom w:val="0"/>
      <w:divBdr>
        <w:top w:val="none" w:sz="0" w:space="0" w:color="auto"/>
        <w:left w:val="none" w:sz="0" w:space="0" w:color="auto"/>
        <w:bottom w:val="none" w:sz="0" w:space="0" w:color="auto"/>
        <w:right w:val="none" w:sz="0" w:space="0" w:color="auto"/>
      </w:divBdr>
    </w:div>
    <w:div w:id="1897744182">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498EA-7A45-4429-B490-03C954C9D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2591</Words>
  <Characters>14771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17328</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User</cp:lastModifiedBy>
  <cp:revision>20</cp:revision>
  <cp:lastPrinted>2006-01-25T10:58:00Z</cp:lastPrinted>
  <dcterms:created xsi:type="dcterms:W3CDTF">2020-04-15T16:16:00Z</dcterms:created>
  <dcterms:modified xsi:type="dcterms:W3CDTF">2021-03-10T10:09:00Z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