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A8AFA" w14:textId="77777777" w:rsidR="002139C6" w:rsidRPr="00DD2F41" w:rsidRDefault="00F849D5">
      <w:pPr>
        <w:jc w:val="center"/>
        <w:rPr>
          <w:b/>
          <w:sz w:val="28"/>
          <w:szCs w:val="28"/>
          <w:lang w:val="en-GB"/>
        </w:rPr>
      </w:pPr>
      <w:r>
        <w:rPr>
          <w:snapToGrid/>
          <w:sz w:val="22"/>
          <w:szCs w:val="22"/>
          <w:lang w:val="en-GB"/>
        </w:rPr>
        <w:pict w14:anchorId="5F7ACF76">
          <v:line id="_x0000_s1030" alt="" style="position:absolute;left:0;text-align:left;z-index:3;mso-wrap-edited:f;mso-width-percent:0;mso-height-percent:0;mso-width-percent:0;mso-height-percent:0"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39529D85" w14:textId="02999AE6" w:rsidR="002139C6" w:rsidRPr="00BD63A4" w:rsidRDefault="003A4D10">
      <w:pPr>
        <w:jc w:val="center"/>
        <w:rPr>
          <w:rStyle w:val="Strong"/>
          <w:sz w:val="22"/>
          <w:szCs w:val="22"/>
          <w:lang w:val="en-GB"/>
        </w:rPr>
      </w:pPr>
      <w:r>
        <w:rPr>
          <w:rStyle w:val="Strong"/>
          <w:sz w:val="22"/>
          <w:szCs w:val="22"/>
          <w:lang w:val="en-GB"/>
        </w:rPr>
        <w:t xml:space="preserve">Rehabilitation of eco-trail in </w:t>
      </w:r>
      <w:proofErr w:type="spellStart"/>
      <w:r>
        <w:rPr>
          <w:rStyle w:val="Strong"/>
          <w:sz w:val="22"/>
          <w:szCs w:val="22"/>
          <w:lang w:val="en-GB"/>
        </w:rPr>
        <w:t>Mineralni</w:t>
      </w:r>
      <w:proofErr w:type="spellEnd"/>
      <w:r>
        <w:rPr>
          <w:rStyle w:val="Strong"/>
          <w:sz w:val="22"/>
          <w:szCs w:val="22"/>
          <w:lang w:val="en-GB"/>
        </w:rPr>
        <w:t xml:space="preserve"> Bani</w:t>
      </w:r>
    </w:p>
    <w:p w14:paraId="3171C52B" w14:textId="3653533B" w:rsidR="005E63ED" w:rsidRPr="0076200F" w:rsidRDefault="002139C6" w:rsidP="0076200F">
      <w:pPr>
        <w:jc w:val="center"/>
        <w:rPr>
          <w:rStyle w:val="Strong"/>
          <w:b w:val="0"/>
          <w:sz w:val="22"/>
          <w:szCs w:val="22"/>
          <w:lang w:val="en-GB"/>
        </w:rPr>
      </w:pPr>
      <w:r w:rsidRPr="00BD63A4">
        <w:rPr>
          <w:b/>
          <w:sz w:val="22"/>
          <w:szCs w:val="22"/>
          <w:lang w:val="en-GB"/>
        </w:rPr>
        <w:t>Location</w:t>
      </w:r>
      <w:r w:rsidRPr="00BD63A4">
        <w:rPr>
          <w:sz w:val="22"/>
          <w:szCs w:val="22"/>
          <w:lang w:val="en-GB"/>
        </w:rPr>
        <w:t xml:space="preserve"> </w:t>
      </w:r>
      <w:r w:rsidR="003A4D10">
        <w:rPr>
          <w:sz w:val="22"/>
          <w:szCs w:val="22"/>
          <w:lang w:val="en-GB"/>
        </w:rPr>
        <w:t>–</w:t>
      </w:r>
      <w:r w:rsidRPr="00BD63A4">
        <w:rPr>
          <w:sz w:val="22"/>
          <w:szCs w:val="22"/>
          <w:lang w:val="en-GB"/>
        </w:rPr>
        <w:t xml:space="preserve"> </w:t>
      </w:r>
      <w:r w:rsidR="003A4D10">
        <w:rPr>
          <w:sz w:val="22"/>
          <w:szCs w:val="22"/>
          <w:lang w:val="en-GB"/>
        </w:rPr>
        <w:t xml:space="preserve">Bulgaria, </w:t>
      </w:r>
      <w:proofErr w:type="spellStart"/>
      <w:r w:rsidR="003A4D10">
        <w:rPr>
          <w:sz w:val="22"/>
          <w:szCs w:val="22"/>
          <w:lang w:val="en-GB"/>
        </w:rPr>
        <w:t>Mineralni</w:t>
      </w:r>
      <w:proofErr w:type="spellEnd"/>
      <w:r w:rsidR="003A4D10">
        <w:rPr>
          <w:sz w:val="22"/>
          <w:szCs w:val="22"/>
          <w:lang w:val="en-GB"/>
        </w:rPr>
        <w:t xml:space="preserve"> Bani municipality</w:t>
      </w:r>
    </w:p>
    <w:p w14:paraId="74A5D1E4"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18721EC7" w14:textId="52D79347" w:rsidR="002139C6" w:rsidRPr="00BD63A4" w:rsidRDefault="003A4D10" w:rsidP="00805EFA">
      <w:pPr>
        <w:ind w:left="709"/>
        <w:rPr>
          <w:sz w:val="22"/>
          <w:szCs w:val="22"/>
          <w:lang w:val="en-GB"/>
        </w:rPr>
      </w:pPr>
      <w:bookmarkStart w:id="0" w:name="_Hlk28256109"/>
      <w:r w:rsidRPr="003A4D10">
        <w:rPr>
          <w:sz w:val="22"/>
          <w:szCs w:val="22"/>
          <w:lang w:val="en-GB"/>
        </w:rPr>
        <w:t>CB005.2.21.074</w:t>
      </w:r>
      <w:bookmarkEnd w:id="0"/>
      <w:r w:rsidRPr="003A4D10">
        <w:rPr>
          <w:sz w:val="22"/>
          <w:szCs w:val="22"/>
          <w:lang w:val="en-GB"/>
        </w:rPr>
        <w:t>-WKS</w:t>
      </w:r>
    </w:p>
    <w:p w14:paraId="6D137103"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1DE36D30"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38E08FE6"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19FD2CA5" w14:textId="2545842D" w:rsidR="00A95184" w:rsidRPr="00BD63A4" w:rsidRDefault="003A4D10" w:rsidP="00BD63A4">
      <w:pPr>
        <w:pStyle w:val="PRAGHeading2"/>
        <w:numPr>
          <w:ilvl w:val="0"/>
          <w:numId w:val="0"/>
        </w:numPr>
        <w:ind w:left="709"/>
        <w:jc w:val="both"/>
        <w:rPr>
          <w:sz w:val="22"/>
          <w:szCs w:val="22"/>
          <w:lang w:val="en-GB"/>
        </w:rPr>
      </w:pPr>
      <w:r w:rsidRPr="003A4D10">
        <w:rPr>
          <w:sz w:val="22"/>
          <w:szCs w:val="22"/>
          <w:lang w:val="en-GB"/>
        </w:rPr>
        <w:t>INTERREG-IPA CBC Bulgaria-Turkey 2014-2020 programme</w:t>
      </w:r>
      <w:r>
        <w:rPr>
          <w:sz w:val="22"/>
          <w:szCs w:val="22"/>
          <w:lang w:val="en-GB"/>
        </w:rPr>
        <w:t xml:space="preserve">, Subsidy Contract </w:t>
      </w:r>
      <w:r w:rsidRPr="003A4D10">
        <w:rPr>
          <w:sz w:val="22"/>
          <w:szCs w:val="22"/>
          <w:lang w:val="en-GB"/>
        </w:rPr>
        <w:t>CB005.2.21.074</w:t>
      </w:r>
      <w:r>
        <w:rPr>
          <w:sz w:val="22"/>
          <w:szCs w:val="22"/>
          <w:lang w:val="en-GB"/>
        </w:rPr>
        <w:t xml:space="preserve"> – Increasing the tourist attractiveness in the municipalities of </w:t>
      </w:r>
      <w:proofErr w:type="spellStart"/>
      <w:r>
        <w:rPr>
          <w:sz w:val="22"/>
          <w:szCs w:val="22"/>
          <w:lang w:val="en-GB"/>
        </w:rPr>
        <w:t>Mineralni</w:t>
      </w:r>
      <w:proofErr w:type="spellEnd"/>
      <w:r>
        <w:rPr>
          <w:sz w:val="22"/>
          <w:szCs w:val="22"/>
          <w:lang w:val="en-GB"/>
        </w:rPr>
        <w:t xml:space="preserve"> Bani and </w:t>
      </w:r>
      <w:proofErr w:type="spellStart"/>
      <w:r>
        <w:rPr>
          <w:sz w:val="22"/>
          <w:szCs w:val="22"/>
          <w:lang w:val="en-GB"/>
        </w:rPr>
        <w:t>Pehlivankoy</w:t>
      </w:r>
      <w:proofErr w:type="spellEnd"/>
    </w:p>
    <w:p w14:paraId="20A6715D"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2C57B1D6" w14:textId="7A177C58" w:rsidR="00D275AD" w:rsidRPr="00BD63A4" w:rsidRDefault="00D275AD" w:rsidP="00BD63A4">
      <w:pPr>
        <w:spacing w:before="240"/>
        <w:ind w:left="720"/>
        <w:jc w:val="both"/>
        <w:rPr>
          <w:sz w:val="22"/>
          <w:szCs w:val="22"/>
          <w:lang w:val="en-GB"/>
        </w:rPr>
      </w:pPr>
      <w:r w:rsidRPr="00BD63A4">
        <w:rPr>
          <w:sz w:val="22"/>
          <w:szCs w:val="22"/>
          <w:lang w:val="en-GB"/>
        </w:rPr>
        <w:t>The project is</w:t>
      </w:r>
      <w:r w:rsidR="003A4D10">
        <w:rPr>
          <w:sz w:val="22"/>
          <w:szCs w:val="22"/>
          <w:lang w:val="en-GB"/>
        </w:rPr>
        <w:t xml:space="preserve"> </w:t>
      </w:r>
      <w:r w:rsidRPr="00BD63A4">
        <w:rPr>
          <w:sz w:val="22"/>
          <w:szCs w:val="22"/>
          <w:lang w:val="en-GB"/>
        </w:rPr>
        <w:t xml:space="preserve">co-financed by the European Union, in accordance with the rules of </w:t>
      </w:r>
      <w:bookmarkStart w:id="1" w:name="_Hlk28256096"/>
      <w:r w:rsidR="003A4D10">
        <w:rPr>
          <w:sz w:val="22"/>
          <w:szCs w:val="22"/>
          <w:lang w:val="en-GB"/>
        </w:rPr>
        <w:t xml:space="preserve">INTERREG-IPA CBC Bulgaria-Turkey 2014-2020 </w:t>
      </w:r>
      <w:r w:rsidRPr="00BD63A4">
        <w:rPr>
          <w:sz w:val="22"/>
          <w:szCs w:val="22"/>
          <w:lang w:val="en-GB"/>
        </w:rPr>
        <w:t>programme</w:t>
      </w:r>
      <w:bookmarkEnd w:id="1"/>
      <w:r w:rsidRPr="00BD63A4">
        <w:rPr>
          <w:sz w:val="22"/>
          <w:szCs w:val="22"/>
          <w:lang w:val="en-GB"/>
        </w:rPr>
        <w:t xml:space="preserve">. </w:t>
      </w:r>
    </w:p>
    <w:p w14:paraId="4093182F"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10E8D412" w14:textId="0BC48215" w:rsidR="009C65D6" w:rsidRDefault="009C65D6" w:rsidP="003A4D10">
      <w:pPr>
        <w:snapToGrid w:val="0"/>
        <w:ind w:left="360"/>
        <w:jc w:val="both"/>
        <w:rPr>
          <w:sz w:val="22"/>
          <w:szCs w:val="22"/>
        </w:rPr>
      </w:pPr>
      <w:r w:rsidRPr="00BD63A4">
        <w:rPr>
          <w:sz w:val="22"/>
          <w:szCs w:val="22"/>
        </w:rPr>
        <w:tab/>
      </w:r>
      <w:proofErr w:type="spellStart"/>
      <w:r w:rsidR="003A4D10">
        <w:rPr>
          <w:sz w:val="22"/>
          <w:szCs w:val="22"/>
        </w:rPr>
        <w:t>Municipality</w:t>
      </w:r>
      <w:proofErr w:type="spellEnd"/>
      <w:r w:rsidR="003A4D10">
        <w:rPr>
          <w:sz w:val="22"/>
          <w:szCs w:val="22"/>
        </w:rPr>
        <w:t xml:space="preserve"> of </w:t>
      </w:r>
      <w:proofErr w:type="spellStart"/>
      <w:r w:rsidR="003A4D10">
        <w:rPr>
          <w:sz w:val="22"/>
          <w:szCs w:val="22"/>
        </w:rPr>
        <w:t>Mineralni</w:t>
      </w:r>
      <w:proofErr w:type="spellEnd"/>
      <w:r w:rsidR="003A4D10">
        <w:rPr>
          <w:sz w:val="22"/>
          <w:szCs w:val="22"/>
        </w:rPr>
        <w:t xml:space="preserve"> </w:t>
      </w:r>
      <w:proofErr w:type="spellStart"/>
      <w:r w:rsidR="003A4D10">
        <w:rPr>
          <w:sz w:val="22"/>
          <w:szCs w:val="22"/>
        </w:rPr>
        <w:t>Bani</w:t>
      </w:r>
      <w:proofErr w:type="spellEnd"/>
    </w:p>
    <w:p w14:paraId="0CBF2457" w14:textId="5631AEF3" w:rsidR="003A4D10" w:rsidRDefault="003A4D10" w:rsidP="003A4D10">
      <w:pPr>
        <w:snapToGrid w:val="0"/>
        <w:ind w:left="360"/>
        <w:jc w:val="both"/>
        <w:rPr>
          <w:sz w:val="22"/>
          <w:szCs w:val="22"/>
        </w:rPr>
      </w:pPr>
      <w:r>
        <w:rPr>
          <w:sz w:val="22"/>
          <w:szCs w:val="22"/>
        </w:rPr>
        <w:tab/>
        <w:t xml:space="preserve">3 </w:t>
      </w:r>
      <w:proofErr w:type="spellStart"/>
      <w:r>
        <w:rPr>
          <w:sz w:val="22"/>
          <w:szCs w:val="22"/>
        </w:rPr>
        <w:t>Vasil</w:t>
      </w:r>
      <w:proofErr w:type="spellEnd"/>
      <w:r>
        <w:rPr>
          <w:sz w:val="22"/>
          <w:szCs w:val="22"/>
        </w:rPr>
        <w:t xml:space="preserve"> </w:t>
      </w:r>
      <w:proofErr w:type="spellStart"/>
      <w:r>
        <w:rPr>
          <w:sz w:val="22"/>
          <w:szCs w:val="22"/>
        </w:rPr>
        <w:t>Levski</w:t>
      </w:r>
      <w:proofErr w:type="spellEnd"/>
      <w:r>
        <w:rPr>
          <w:sz w:val="22"/>
          <w:szCs w:val="22"/>
        </w:rPr>
        <w:t xml:space="preserve"> </w:t>
      </w:r>
      <w:proofErr w:type="spellStart"/>
      <w:r>
        <w:rPr>
          <w:sz w:val="22"/>
          <w:szCs w:val="22"/>
        </w:rPr>
        <w:t>Blvd</w:t>
      </w:r>
      <w:proofErr w:type="spellEnd"/>
      <w:r>
        <w:rPr>
          <w:sz w:val="22"/>
          <w:szCs w:val="22"/>
        </w:rPr>
        <w:t>,</w:t>
      </w:r>
    </w:p>
    <w:p w14:paraId="475D7661" w14:textId="0D06B7A9" w:rsidR="003A4D10" w:rsidRPr="00BD63A4" w:rsidRDefault="003A4D10" w:rsidP="003A4D10">
      <w:pPr>
        <w:snapToGrid w:val="0"/>
        <w:ind w:left="360"/>
        <w:jc w:val="both"/>
        <w:rPr>
          <w:sz w:val="22"/>
          <w:szCs w:val="22"/>
          <w:lang w:val="en-GB"/>
        </w:rPr>
      </w:pPr>
      <w:r>
        <w:rPr>
          <w:sz w:val="22"/>
          <w:szCs w:val="22"/>
        </w:rPr>
        <w:tab/>
        <w:t xml:space="preserve">6343 </w:t>
      </w:r>
      <w:proofErr w:type="spellStart"/>
      <w:r>
        <w:rPr>
          <w:sz w:val="22"/>
          <w:szCs w:val="22"/>
        </w:rPr>
        <w:t>Mineralni</w:t>
      </w:r>
      <w:proofErr w:type="spellEnd"/>
      <w:r>
        <w:rPr>
          <w:sz w:val="22"/>
          <w:szCs w:val="22"/>
        </w:rPr>
        <w:t xml:space="preserve"> </w:t>
      </w:r>
      <w:proofErr w:type="spellStart"/>
      <w:r>
        <w:rPr>
          <w:sz w:val="22"/>
          <w:szCs w:val="22"/>
        </w:rPr>
        <w:t>Bani</w:t>
      </w:r>
      <w:proofErr w:type="spellEnd"/>
      <w:r>
        <w:rPr>
          <w:sz w:val="22"/>
          <w:szCs w:val="22"/>
        </w:rPr>
        <w:t xml:space="preserve"> village</w:t>
      </w:r>
    </w:p>
    <w:p w14:paraId="114F7F4A" w14:textId="77777777" w:rsidR="002139C6" w:rsidRPr="00DD2F41" w:rsidRDefault="00F849D5">
      <w:pPr>
        <w:ind w:left="360"/>
        <w:jc w:val="center"/>
        <w:rPr>
          <w:rStyle w:val="Strong"/>
          <w:sz w:val="22"/>
          <w:szCs w:val="22"/>
          <w:lang w:val="en-GB"/>
        </w:rPr>
      </w:pPr>
      <w:r>
        <w:rPr>
          <w:b/>
          <w:noProof/>
          <w:snapToGrid/>
          <w:sz w:val="22"/>
          <w:szCs w:val="22"/>
          <w:lang w:val="en-GB" w:eastAsia="en-GB"/>
        </w:rPr>
        <w:pict w14:anchorId="0575D975">
          <v:line id="_x0000_s1029" alt="" style="position:absolute;left:0;text-align:left;z-index:5;mso-wrap-edited:f;mso-width-percent:0;mso-height-percent:0;mso-width-percent:0;mso-height-percent:0" from="2.25pt,-.45pt" to="470.25pt,-.4pt" o:allowincell="f" strokecolor="#d4d4d4" strokeweight="1.75pt">
            <v:shadow on="t" origin=",32385f" offset="0,-1pt"/>
          </v:line>
        </w:pict>
      </w:r>
      <w:r w:rsidR="002139C6" w:rsidRPr="00DD2F41">
        <w:rPr>
          <w:rStyle w:val="Strong"/>
          <w:sz w:val="22"/>
          <w:szCs w:val="22"/>
          <w:lang w:val="en-GB"/>
        </w:rPr>
        <w:t>CONTRACT SPECIFICATIONS</w:t>
      </w:r>
    </w:p>
    <w:p w14:paraId="31D30051"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06BFF361" w14:textId="78F0FDC8"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0CE87C73"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3128DA8D" w14:textId="77777777" w:rsidR="009625CB" w:rsidRPr="009625CB" w:rsidRDefault="009625CB" w:rsidP="009625CB">
      <w:pPr>
        <w:ind w:left="709"/>
        <w:jc w:val="both"/>
        <w:rPr>
          <w:sz w:val="22"/>
          <w:szCs w:val="22"/>
          <w:lang w:val="en-GB"/>
        </w:rPr>
      </w:pPr>
      <w:r w:rsidRPr="009625CB">
        <w:rPr>
          <w:sz w:val="22"/>
          <w:szCs w:val="22"/>
          <w:lang w:val="en-GB"/>
        </w:rPr>
        <w:t>The idea of the proposed eco-trail "</w:t>
      </w:r>
      <w:proofErr w:type="spellStart"/>
      <w:r w:rsidRPr="009625CB">
        <w:rPr>
          <w:sz w:val="22"/>
          <w:szCs w:val="22"/>
          <w:lang w:val="en-GB"/>
        </w:rPr>
        <w:t>Bryastovo</w:t>
      </w:r>
      <w:proofErr w:type="spellEnd"/>
      <w:r w:rsidRPr="009625CB">
        <w:rPr>
          <w:sz w:val="22"/>
          <w:szCs w:val="22"/>
          <w:lang w:val="en-GB"/>
        </w:rPr>
        <w:t xml:space="preserve"> village - </w:t>
      </w:r>
      <w:proofErr w:type="spellStart"/>
      <w:r w:rsidRPr="009625CB">
        <w:rPr>
          <w:sz w:val="22"/>
          <w:szCs w:val="22"/>
          <w:lang w:val="en-GB"/>
        </w:rPr>
        <w:t>Uzun</w:t>
      </w:r>
      <w:proofErr w:type="spellEnd"/>
      <w:r w:rsidRPr="009625CB">
        <w:rPr>
          <w:sz w:val="22"/>
          <w:szCs w:val="22"/>
          <w:lang w:val="en-GB"/>
        </w:rPr>
        <w:t xml:space="preserve"> </w:t>
      </w:r>
      <w:proofErr w:type="spellStart"/>
      <w:r w:rsidRPr="009625CB">
        <w:rPr>
          <w:sz w:val="22"/>
          <w:szCs w:val="22"/>
          <w:lang w:val="en-GB"/>
        </w:rPr>
        <w:t>Dere</w:t>
      </w:r>
      <w:proofErr w:type="spellEnd"/>
      <w:r w:rsidRPr="009625CB">
        <w:rPr>
          <w:sz w:val="22"/>
          <w:szCs w:val="22"/>
          <w:lang w:val="en-GB"/>
        </w:rPr>
        <w:t xml:space="preserve"> - </w:t>
      </w:r>
      <w:proofErr w:type="spellStart"/>
      <w:r w:rsidRPr="009625CB">
        <w:rPr>
          <w:sz w:val="22"/>
          <w:szCs w:val="22"/>
          <w:lang w:val="en-GB"/>
        </w:rPr>
        <w:t>Probit</w:t>
      </w:r>
      <w:proofErr w:type="spellEnd"/>
      <w:r w:rsidRPr="009625CB">
        <w:rPr>
          <w:sz w:val="22"/>
          <w:szCs w:val="22"/>
          <w:lang w:val="en-GB"/>
        </w:rPr>
        <w:t xml:space="preserve"> </w:t>
      </w:r>
      <w:proofErr w:type="spellStart"/>
      <w:r w:rsidRPr="009625CB">
        <w:rPr>
          <w:sz w:val="22"/>
          <w:szCs w:val="22"/>
          <w:lang w:val="en-GB"/>
        </w:rPr>
        <w:t>Kamak</w:t>
      </w:r>
      <w:proofErr w:type="spellEnd"/>
      <w:r w:rsidRPr="009625CB">
        <w:rPr>
          <w:sz w:val="22"/>
          <w:szCs w:val="22"/>
          <w:lang w:val="en-GB"/>
        </w:rPr>
        <w:t xml:space="preserve"> area - </w:t>
      </w:r>
      <w:proofErr w:type="spellStart"/>
      <w:r w:rsidRPr="009625CB">
        <w:rPr>
          <w:sz w:val="22"/>
          <w:szCs w:val="22"/>
          <w:lang w:val="en-GB"/>
        </w:rPr>
        <w:t>Orlovi</w:t>
      </w:r>
      <w:proofErr w:type="spellEnd"/>
      <w:r w:rsidRPr="009625CB">
        <w:rPr>
          <w:sz w:val="22"/>
          <w:szCs w:val="22"/>
          <w:lang w:val="en-GB"/>
        </w:rPr>
        <w:t xml:space="preserve"> </w:t>
      </w:r>
      <w:proofErr w:type="spellStart"/>
      <w:r w:rsidRPr="009625CB">
        <w:rPr>
          <w:sz w:val="22"/>
          <w:szCs w:val="22"/>
          <w:lang w:val="en-GB"/>
        </w:rPr>
        <w:t>Skali</w:t>
      </w:r>
      <w:proofErr w:type="spellEnd"/>
      <w:r w:rsidRPr="009625CB">
        <w:rPr>
          <w:sz w:val="22"/>
          <w:szCs w:val="22"/>
          <w:lang w:val="en-GB"/>
        </w:rPr>
        <w:t xml:space="preserve"> area with detour to </w:t>
      </w:r>
      <w:proofErr w:type="spellStart"/>
      <w:r w:rsidRPr="009625CB">
        <w:rPr>
          <w:sz w:val="22"/>
          <w:szCs w:val="22"/>
          <w:lang w:val="en-GB"/>
        </w:rPr>
        <w:t>Aykaas</w:t>
      </w:r>
      <w:proofErr w:type="spellEnd"/>
      <w:r w:rsidRPr="009625CB">
        <w:rPr>
          <w:sz w:val="22"/>
          <w:szCs w:val="22"/>
          <w:lang w:val="en-GB"/>
        </w:rPr>
        <w:t xml:space="preserve"> area" is to reach the borders of the neighbouring municipalities of </w:t>
      </w:r>
      <w:proofErr w:type="spellStart"/>
      <w:r w:rsidRPr="009625CB">
        <w:rPr>
          <w:sz w:val="22"/>
          <w:szCs w:val="22"/>
          <w:lang w:val="en-GB"/>
        </w:rPr>
        <w:t>Chernochene</w:t>
      </w:r>
      <w:proofErr w:type="spellEnd"/>
      <w:r w:rsidRPr="009625CB">
        <w:rPr>
          <w:sz w:val="22"/>
          <w:szCs w:val="22"/>
          <w:lang w:val="en-GB"/>
        </w:rPr>
        <w:t xml:space="preserve"> and </w:t>
      </w:r>
      <w:proofErr w:type="spellStart"/>
      <w:r w:rsidRPr="009625CB">
        <w:rPr>
          <w:sz w:val="22"/>
          <w:szCs w:val="22"/>
          <w:lang w:val="en-GB"/>
        </w:rPr>
        <w:t>Parvomay</w:t>
      </w:r>
      <w:proofErr w:type="spellEnd"/>
      <w:r w:rsidRPr="009625CB">
        <w:rPr>
          <w:sz w:val="22"/>
          <w:szCs w:val="22"/>
          <w:lang w:val="en-GB"/>
        </w:rPr>
        <w:t xml:space="preserve">, which after developing their tourist infrastructure will enable tourists to reach the district centres Plovdiv and </w:t>
      </w:r>
      <w:proofErr w:type="spellStart"/>
      <w:r w:rsidRPr="009625CB">
        <w:rPr>
          <w:sz w:val="22"/>
          <w:szCs w:val="22"/>
          <w:lang w:val="en-GB"/>
        </w:rPr>
        <w:t>Kurzhali</w:t>
      </w:r>
      <w:proofErr w:type="spellEnd"/>
      <w:r w:rsidRPr="009625CB">
        <w:rPr>
          <w:sz w:val="22"/>
          <w:szCs w:val="22"/>
          <w:lang w:val="en-GB"/>
        </w:rPr>
        <w:t xml:space="preserve"> which will support the establishment of a sustainable and durable system on a national and transnational level. </w:t>
      </w:r>
    </w:p>
    <w:p w14:paraId="0755336F" w14:textId="77777777" w:rsidR="009625CB" w:rsidRPr="009625CB" w:rsidRDefault="009625CB" w:rsidP="009625CB">
      <w:pPr>
        <w:ind w:left="709"/>
        <w:jc w:val="both"/>
        <w:rPr>
          <w:sz w:val="22"/>
          <w:szCs w:val="22"/>
          <w:lang w:val="en-GB"/>
        </w:rPr>
      </w:pPr>
      <w:r w:rsidRPr="009625CB">
        <w:rPr>
          <w:sz w:val="22"/>
          <w:szCs w:val="22"/>
          <w:lang w:val="en-GB"/>
        </w:rPr>
        <w:t xml:space="preserve">The second objective of this project activity is to establish closed circuits of tourist routes. At present the eco-trails are leading one way to some interesting object, and the tourist has to come back along the same route. By creating the present eco-trail, the tourists will be able to start from one point and come back via a different route. In addition, the tourist will enhance </w:t>
      </w:r>
      <w:proofErr w:type="spellStart"/>
      <w:r w:rsidRPr="009625CB">
        <w:rPr>
          <w:sz w:val="22"/>
          <w:szCs w:val="22"/>
          <w:lang w:val="en-GB"/>
        </w:rPr>
        <w:t>theor</w:t>
      </w:r>
      <w:proofErr w:type="spellEnd"/>
      <w:r w:rsidRPr="009625CB">
        <w:rPr>
          <w:sz w:val="22"/>
          <w:szCs w:val="22"/>
          <w:lang w:val="en-GB"/>
        </w:rPr>
        <w:t xml:space="preserve"> experience with the exercise in preserved nature, clean air and natural objects and views along the eco-trail.</w:t>
      </w:r>
    </w:p>
    <w:p w14:paraId="6AA2E57D" w14:textId="77777777" w:rsidR="009625CB" w:rsidRPr="009625CB" w:rsidRDefault="009625CB" w:rsidP="009625CB">
      <w:pPr>
        <w:ind w:left="709"/>
        <w:jc w:val="both"/>
        <w:rPr>
          <w:sz w:val="22"/>
          <w:szCs w:val="22"/>
          <w:lang w:val="en-GB"/>
        </w:rPr>
      </w:pPr>
      <w:r w:rsidRPr="009625CB">
        <w:rPr>
          <w:sz w:val="22"/>
          <w:szCs w:val="22"/>
          <w:lang w:val="en-GB"/>
        </w:rPr>
        <w:lastRenderedPageBreak/>
        <w:t>The present activity includes the works for the rehabilitation of the eco-trail "</w:t>
      </w:r>
      <w:proofErr w:type="spellStart"/>
      <w:r w:rsidRPr="009625CB">
        <w:rPr>
          <w:sz w:val="22"/>
          <w:szCs w:val="22"/>
          <w:lang w:val="en-GB"/>
        </w:rPr>
        <w:t>Bryastovo</w:t>
      </w:r>
      <w:proofErr w:type="spellEnd"/>
      <w:r w:rsidRPr="009625CB">
        <w:rPr>
          <w:sz w:val="22"/>
          <w:szCs w:val="22"/>
          <w:lang w:val="en-GB"/>
        </w:rPr>
        <w:t xml:space="preserve"> - </w:t>
      </w:r>
      <w:proofErr w:type="spellStart"/>
      <w:r w:rsidRPr="009625CB">
        <w:rPr>
          <w:sz w:val="22"/>
          <w:szCs w:val="22"/>
          <w:lang w:val="en-GB"/>
        </w:rPr>
        <w:t>Orlovi</w:t>
      </w:r>
      <w:proofErr w:type="spellEnd"/>
      <w:r w:rsidRPr="009625CB">
        <w:rPr>
          <w:sz w:val="22"/>
          <w:szCs w:val="22"/>
          <w:lang w:val="en-GB"/>
        </w:rPr>
        <w:t xml:space="preserve"> </w:t>
      </w:r>
      <w:proofErr w:type="spellStart"/>
      <w:r w:rsidRPr="009625CB">
        <w:rPr>
          <w:sz w:val="22"/>
          <w:szCs w:val="22"/>
          <w:lang w:val="en-GB"/>
        </w:rPr>
        <w:t>Skali</w:t>
      </w:r>
      <w:proofErr w:type="spellEnd"/>
      <w:r w:rsidRPr="009625CB">
        <w:rPr>
          <w:sz w:val="22"/>
          <w:szCs w:val="22"/>
          <w:lang w:val="en-GB"/>
        </w:rPr>
        <w:t>/</w:t>
      </w:r>
      <w:proofErr w:type="spellStart"/>
      <w:r w:rsidRPr="009625CB">
        <w:rPr>
          <w:sz w:val="22"/>
          <w:szCs w:val="22"/>
          <w:lang w:val="en-GB"/>
        </w:rPr>
        <w:t>Aykaas</w:t>
      </w:r>
      <w:proofErr w:type="spellEnd"/>
      <w:r w:rsidRPr="009625CB">
        <w:rPr>
          <w:sz w:val="22"/>
          <w:szCs w:val="22"/>
          <w:lang w:val="en-GB"/>
        </w:rPr>
        <w:t>" together with the installation of small-scale tourist attractions and places for rest in the open.</w:t>
      </w:r>
    </w:p>
    <w:p w14:paraId="4DFB01B2" w14:textId="064AE726" w:rsidR="00D62A71" w:rsidRDefault="009625CB" w:rsidP="009625CB">
      <w:pPr>
        <w:ind w:left="709"/>
        <w:jc w:val="both"/>
        <w:rPr>
          <w:sz w:val="22"/>
          <w:szCs w:val="22"/>
          <w:lang w:val="en-GB"/>
        </w:rPr>
      </w:pPr>
      <w:r w:rsidRPr="009625CB">
        <w:rPr>
          <w:sz w:val="22"/>
          <w:szCs w:val="22"/>
          <w:lang w:val="en-GB"/>
        </w:rPr>
        <w:t xml:space="preserve">The eco-trail has a total length of 15,380 km and a detour for </w:t>
      </w:r>
      <w:proofErr w:type="spellStart"/>
      <w:r w:rsidRPr="009625CB">
        <w:rPr>
          <w:sz w:val="22"/>
          <w:szCs w:val="22"/>
          <w:lang w:val="en-GB"/>
        </w:rPr>
        <w:t>Aykaas</w:t>
      </w:r>
      <w:proofErr w:type="spellEnd"/>
      <w:r w:rsidRPr="009625CB">
        <w:rPr>
          <w:sz w:val="22"/>
          <w:szCs w:val="22"/>
          <w:lang w:val="en-GB"/>
        </w:rPr>
        <w:t xml:space="preserve"> area of 4,5 km with 2 designated rest areas and attractions - at </w:t>
      </w:r>
      <w:proofErr w:type="spellStart"/>
      <w:r w:rsidRPr="009625CB">
        <w:rPr>
          <w:sz w:val="22"/>
          <w:szCs w:val="22"/>
          <w:lang w:val="en-GB"/>
        </w:rPr>
        <w:t>Shilata</w:t>
      </w:r>
      <w:proofErr w:type="spellEnd"/>
      <w:r w:rsidRPr="009625CB">
        <w:rPr>
          <w:sz w:val="22"/>
          <w:szCs w:val="22"/>
          <w:lang w:val="en-GB"/>
        </w:rPr>
        <w:t xml:space="preserve"> area and at </w:t>
      </w:r>
      <w:proofErr w:type="spellStart"/>
      <w:r w:rsidRPr="009625CB">
        <w:rPr>
          <w:sz w:val="22"/>
          <w:szCs w:val="22"/>
          <w:lang w:val="en-GB"/>
        </w:rPr>
        <w:t>Uzun</w:t>
      </w:r>
      <w:proofErr w:type="spellEnd"/>
      <w:r w:rsidRPr="009625CB">
        <w:rPr>
          <w:sz w:val="22"/>
          <w:szCs w:val="22"/>
          <w:lang w:val="en-GB"/>
        </w:rPr>
        <w:t xml:space="preserve"> </w:t>
      </w:r>
      <w:proofErr w:type="spellStart"/>
      <w:r w:rsidRPr="009625CB">
        <w:rPr>
          <w:sz w:val="22"/>
          <w:szCs w:val="22"/>
          <w:lang w:val="en-GB"/>
        </w:rPr>
        <w:t>Dere</w:t>
      </w:r>
      <w:proofErr w:type="spellEnd"/>
      <w:r w:rsidRPr="009625CB">
        <w:rPr>
          <w:sz w:val="22"/>
          <w:szCs w:val="22"/>
          <w:lang w:val="en-GB"/>
        </w:rPr>
        <w:t xml:space="preserve"> river. Along the eco-trail will be installed </w:t>
      </w:r>
      <w:proofErr w:type="spellStart"/>
      <w:r w:rsidRPr="009625CB">
        <w:rPr>
          <w:sz w:val="22"/>
          <w:szCs w:val="22"/>
          <w:lang w:val="en-GB"/>
        </w:rPr>
        <w:t>roadsigns</w:t>
      </w:r>
      <w:proofErr w:type="spellEnd"/>
      <w:r w:rsidRPr="009625CB">
        <w:rPr>
          <w:sz w:val="22"/>
          <w:szCs w:val="22"/>
          <w:lang w:val="en-GB"/>
        </w:rPr>
        <w:t xml:space="preserve">, </w:t>
      </w:r>
      <w:proofErr w:type="spellStart"/>
      <w:r w:rsidRPr="009625CB">
        <w:rPr>
          <w:sz w:val="22"/>
          <w:szCs w:val="22"/>
          <w:lang w:val="en-GB"/>
        </w:rPr>
        <w:t>infromation</w:t>
      </w:r>
      <w:proofErr w:type="spellEnd"/>
      <w:r w:rsidRPr="009625CB">
        <w:rPr>
          <w:sz w:val="22"/>
          <w:szCs w:val="22"/>
          <w:lang w:val="en-GB"/>
        </w:rPr>
        <w:t xml:space="preserve"> boards and benches for use by the tourists. 2 of the information boards will be installed at the main road to the border checkpoint </w:t>
      </w:r>
      <w:proofErr w:type="spellStart"/>
      <w:r w:rsidRPr="009625CB">
        <w:rPr>
          <w:sz w:val="22"/>
          <w:szCs w:val="22"/>
          <w:lang w:val="en-GB"/>
        </w:rPr>
        <w:t>Makaza</w:t>
      </w:r>
      <w:proofErr w:type="spellEnd"/>
      <w:r w:rsidRPr="009625CB">
        <w:rPr>
          <w:sz w:val="22"/>
          <w:szCs w:val="22"/>
          <w:lang w:val="en-GB"/>
        </w:rPr>
        <w:t>, which will ensure the best information for the tourists. It is envisaged that the route of the eco-trail to be cleaned from vegetation and waste and to construct appropriate slopes for rain and surface water drainage.</w:t>
      </w:r>
    </w:p>
    <w:p w14:paraId="317CF32A"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21896282" w14:textId="5352DBF7" w:rsidR="00B24E1F" w:rsidRPr="002E09EF" w:rsidRDefault="00423F80" w:rsidP="00B24E1F">
      <w:pPr>
        <w:ind w:left="709"/>
        <w:rPr>
          <w:sz w:val="22"/>
          <w:szCs w:val="22"/>
          <w:lang w:val="en-GB"/>
        </w:rPr>
      </w:pPr>
      <w:r>
        <w:rPr>
          <w:sz w:val="22"/>
          <w:szCs w:val="22"/>
          <w:lang w:val="en-GB"/>
        </w:rPr>
        <w:t>April</w:t>
      </w:r>
      <w:r w:rsidR="003A4D10">
        <w:rPr>
          <w:sz w:val="22"/>
          <w:szCs w:val="22"/>
          <w:lang w:val="en-GB"/>
        </w:rPr>
        <w:t xml:space="preserve"> 2020</w:t>
      </w:r>
    </w:p>
    <w:p w14:paraId="2E94DD4F" w14:textId="77777777" w:rsidR="002E09EF" w:rsidRPr="002E09EF" w:rsidRDefault="002E09EF" w:rsidP="002E09EF">
      <w:pPr>
        <w:pStyle w:val="PRAGHeading2"/>
        <w:rPr>
          <w:rStyle w:val="Strong"/>
          <w:b w:val="0"/>
          <w:sz w:val="22"/>
          <w:szCs w:val="22"/>
          <w:lang w:val="en-GB"/>
        </w:rPr>
      </w:pPr>
      <w:r w:rsidRPr="00423F80">
        <w:rPr>
          <w:rStyle w:val="Strong"/>
          <w:sz w:val="22"/>
          <w:szCs w:val="22"/>
          <w:lang w:val="en-GB"/>
        </w:rPr>
        <w:t>P</w:t>
      </w:r>
      <w:r w:rsidRPr="002E09EF">
        <w:rPr>
          <w:b/>
          <w:sz w:val="22"/>
          <w:szCs w:val="22"/>
          <w:lang w:val="en-GB"/>
        </w:rPr>
        <w:t>eriod of implementation of tasks</w:t>
      </w:r>
    </w:p>
    <w:p w14:paraId="1FFAEF80" w14:textId="4DE2A554" w:rsidR="002E09EF" w:rsidRPr="002E09EF" w:rsidRDefault="00423F80" w:rsidP="002E09EF">
      <w:pPr>
        <w:ind w:left="709"/>
        <w:rPr>
          <w:sz w:val="22"/>
          <w:szCs w:val="22"/>
          <w:lang w:val="en-GB"/>
        </w:rPr>
      </w:pPr>
      <w:r>
        <w:rPr>
          <w:sz w:val="22"/>
          <w:szCs w:val="22"/>
          <w:lang w:val="en-GB"/>
        </w:rPr>
        <w:t xml:space="preserve">Maximum </w:t>
      </w:r>
      <w:r w:rsidR="009625CB">
        <w:rPr>
          <w:sz w:val="22"/>
          <w:szCs w:val="22"/>
          <w:lang w:val="en-GB"/>
        </w:rPr>
        <w:t>12 months</w:t>
      </w:r>
    </w:p>
    <w:p w14:paraId="78C2C622" w14:textId="77777777" w:rsidR="00B24E1F" w:rsidRPr="002E09EF" w:rsidRDefault="00B24E1F" w:rsidP="00D62A71">
      <w:pPr>
        <w:ind w:left="709"/>
        <w:rPr>
          <w:sz w:val="22"/>
          <w:szCs w:val="22"/>
          <w:lang w:val="en-GB"/>
        </w:rPr>
      </w:pPr>
    </w:p>
    <w:p w14:paraId="6337EEE0" w14:textId="77777777" w:rsidR="002139C6" w:rsidRPr="00DD2F41" w:rsidRDefault="00F849D5">
      <w:pPr>
        <w:ind w:left="360"/>
        <w:jc w:val="center"/>
        <w:rPr>
          <w:rStyle w:val="Strong"/>
          <w:sz w:val="22"/>
          <w:szCs w:val="22"/>
          <w:lang w:val="en-GB"/>
        </w:rPr>
      </w:pPr>
      <w:r>
        <w:rPr>
          <w:b/>
          <w:noProof/>
          <w:snapToGrid/>
          <w:sz w:val="22"/>
          <w:szCs w:val="22"/>
          <w:lang w:val="en-GB" w:eastAsia="en-GB"/>
        </w:rPr>
        <w:pict w14:anchorId="15240D16">
          <v:line id="_x0000_s1028" alt="" style="position:absolute;left:0;text-align:left;z-index:4;mso-wrap-edited:f;mso-width-percent:0;mso-height-percent:0;mso-width-percent:0;mso-height-percent:0" from="2.25pt,.9pt" to="470.25pt,.95pt" o:allowincell="f" strokecolor="#d4d4d4" strokeweight="1.75pt">
            <v:shadow on="t" origin=",32385f" offset="0,-1pt"/>
          </v:line>
        </w:pict>
      </w:r>
      <w:r w:rsidR="002139C6" w:rsidRPr="00DD2F41">
        <w:rPr>
          <w:rStyle w:val="Strong"/>
          <w:sz w:val="22"/>
          <w:szCs w:val="22"/>
          <w:lang w:val="en-GB"/>
        </w:rPr>
        <w:t>TERMS OF PARTICIPATION</w:t>
      </w:r>
    </w:p>
    <w:p w14:paraId="73D3F032"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24B2B2CA" w14:textId="77777777"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14:paraId="35C3ECB0"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385BE478" w14:textId="147D7723"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14:paraId="3858A2D7"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50D8B69C" w14:textId="77777777" w:rsidR="00423F80" w:rsidRDefault="00B24E1F" w:rsidP="00423F80">
      <w:pPr>
        <w:pStyle w:val="PRAGHeading2"/>
        <w:jc w:val="both"/>
        <w:rPr>
          <w:rStyle w:val="Strong"/>
          <w:sz w:val="22"/>
          <w:szCs w:val="22"/>
          <w:lang w:val="en-GB"/>
        </w:rPr>
      </w:pPr>
      <w:r w:rsidRPr="00B24E1F">
        <w:rPr>
          <w:rStyle w:val="Strong"/>
          <w:sz w:val="22"/>
          <w:szCs w:val="22"/>
          <w:lang w:val="en-GB"/>
        </w:rPr>
        <w:t>Grounds for exclusion</w:t>
      </w:r>
    </w:p>
    <w:p w14:paraId="352521A6" w14:textId="428DB154" w:rsidR="003720EC" w:rsidRPr="00423F80" w:rsidRDefault="003720EC" w:rsidP="00423F80">
      <w:pPr>
        <w:pStyle w:val="PRAGHeading2"/>
        <w:numPr>
          <w:ilvl w:val="0"/>
          <w:numId w:val="0"/>
        </w:numPr>
        <w:ind w:left="709"/>
        <w:jc w:val="both"/>
        <w:rPr>
          <w:b/>
          <w:sz w:val="22"/>
          <w:szCs w:val="22"/>
          <w:lang w:val="en-GB"/>
        </w:rPr>
      </w:pPr>
      <w:bookmarkStart w:id="2" w:name="_GoBack"/>
      <w:bookmarkEnd w:id="2"/>
      <w:r w:rsidRPr="00423F80">
        <w:rPr>
          <w:sz w:val="22"/>
          <w:szCs w:val="22"/>
          <w:lang w:val="en-GB"/>
        </w:rPr>
        <w:t xml:space="preserve">Natural persons, companies or undertakings falling into a situation set out in </w:t>
      </w:r>
      <w:r w:rsidR="00921394" w:rsidRPr="00423F80">
        <w:rPr>
          <w:sz w:val="22"/>
          <w:szCs w:val="22"/>
          <w:lang w:val="en-GB"/>
        </w:rPr>
        <w:t>S</w:t>
      </w:r>
      <w:r w:rsidRPr="00423F80">
        <w:rPr>
          <w:sz w:val="22"/>
          <w:szCs w:val="22"/>
          <w:lang w:val="en-GB"/>
        </w:rPr>
        <w:t xml:space="preserve">ection </w:t>
      </w:r>
      <w:r w:rsidR="00725D52" w:rsidRPr="00423F80">
        <w:rPr>
          <w:sz w:val="22"/>
          <w:szCs w:val="22"/>
          <w:lang w:val="en-GB"/>
        </w:rPr>
        <w:t>2.6.10.1.1.</w:t>
      </w:r>
      <w:r w:rsidRPr="00423F80">
        <w:rPr>
          <w:sz w:val="22"/>
          <w:szCs w:val="22"/>
          <w:lang w:val="en-GB"/>
        </w:rPr>
        <w:t xml:space="preserve"> (</w:t>
      </w:r>
      <w:r w:rsidR="00725D52" w:rsidRPr="00423F80">
        <w:rPr>
          <w:sz w:val="22"/>
          <w:szCs w:val="22"/>
          <w:lang w:val="en-GB"/>
        </w:rPr>
        <w:t>‘</w:t>
      </w:r>
      <w:r w:rsidRPr="00423F80">
        <w:rPr>
          <w:sz w:val="22"/>
          <w:szCs w:val="22"/>
          <w:lang w:val="en-GB"/>
        </w:rPr>
        <w:t>exclusion from participation in procurement procedures</w:t>
      </w:r>
      <w:r w:rsidR="00725D52" w:rsidRPr="00423F80">
        <w:rPr>
          <w:sz w:val="22"/>
          <w:szCs w:val="22"/>
          <w:lang w:val="en-GB"/>
        </w:rPr>
        <w:t>’</w:t>
      </w:r>
      <w:r w:rsidRPr="00423F80">
        <w:rPr>
          <w:sz w:val="22"/>
          <w:szCs w:val="22"/>
          <w:lang w:val="en-GB"/>
        </w:rPr>
        <w:t xml:space="preserve">) and </w:t>
      </w:r>
      <w:r w:rsidR="00921394" w:rsidRPr="00423F80">
        <w:rPr>
          <w:sz w:val="22"/>
          <w:szCs w:val="22"/>
          <w:lang w:val="en-GB"/>
        </w:rPr>
        <w:t>S</w:t>
      </w:r>
      <w:r w:rsidRPr="00423F80">
        <w:rPr>
          <w:sz w:val="22"/>
          <w:szCs w:val="22"/>
          <w:lang w:val="en-GB"/>
        </w:rPr>
        <w:t xml:space="preserve">ection </w:t>
      </w:r>
      <w:r w:rsidR="00725D52" w:rsidRPr="00423F80">
        <w:rPr>
          <w:sz w:val="22"/>
          <w:szCs w:val="22"/>
          <w:lang w:val="en-GB"/>
        </w:rPr>
        <w:t>2.6.10.1.2.</w:t>
      </w:r>
      <w:r w:rsidRPr="00423F80">
        <w:rPr>
          <w:sz w:val="22"/>
          <w:szCs w:val="22"/>
          <w:lang w:val="en-GB"/>
        </w:rPr>
        <w:t xml:space="preserve"> (</w:t>
      </w:r>
      <w:r w:rsidR="00725D52" w:rsidRPr="00423F80">
        <w:rPr>
          <w:sz w:val="22"/>
          <w:szCs w:val="22"/>
          <w:lang w:val="en-GB"/>
        </w:rPr>
        <w:t>‘</w:t>
      </w:r>
      <w:r w:rsidRPr="00423F80">
        <w:rPr>
          <w:sz w:val="22"/>
          <w:szCs w:val="22"/>
          <w:lang w:val="en-GB"/>
        </w:rPr>
        <w:t>rejection from a given procedure</w:t>
      </w:r>
      <w:r w:rsidR="00725D52" w:rsidRPr="00423F80">
        <w:rPr>
          <w:sz w:val="22"/>
          <w:szCs w:val="22"/>
          <w:lang w:val="en-GB"/>
        </w:rPr>
        <w:t>’</w:t>
      </w:r>
      <w:r w:rsidRPr="00423F80">
        <w:rPr>
          <w:sz w:val="22"/>
          <w:szCs w:val="22"/>
          <w:lang w:val="en-GB"/>
        </w:rPr>
        <w:t xml:space="preserve">) of the </w:t>
      </w:r>
      <w:r w:rsidR="00725D52" w:rsidRPr="00423F80">
        <w:rPr>
          <w:sz w:val="22"/>
          <w:szCs w:val="22"/>
          <w:lang w:val="en-GB"/>
        </w:rPr>
        <w:t>p</w:t>
      </w:r>
      <w:r w:rsidRPr="00423F80">
        <w:rPr>
          <w:sz w:val="22"/>
          <w:szCs w:val="22"/>
          <w:lang w:val="en-GB"/>
        </w:rPr>
        <w:t>ractical</w:t>
      </w:r>
      <w:r w:rsidR="00985F8D" w:rsidRPr="00423F80">
        <w:rPr>
          <w:sz w:val="22"/>
          <w:szCs w:val="22"/>
          <w:lang w:val="en-GB"/>
        </w:rPr>
        <w:t xml:space="preserve"> </w:t>
      </w:r>
      <w:r w:rsidR="00725D52" w:rsidRPr="00423F80">
        <w:rPr>
          <w:sz w:val="22"/>
          <w:szCs w:val="22"/>
          <w:lang w:val="en-GB"/>
        </w:rPr>
        <w:t>g</w:t>
      </w:r>
      <w:r w:rsidRPr="00423F80">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423F80">
        <w:rPr>
          <w:sz w:val="22"/>
          <w:szCs w:val="22"/>
          <w:lang w:val="en-GB"/>
        </w:rPr>
        <w:t>S</w:t>
      </w:r>
      <w:r w:rsidRPr="00423F80">
        <w:rPr>
          <w:sz w:val="22"/>
          <w:szCs w:val="22"/>
          <w:lang w:val="en-GB"/>
        </w:rPr>
        <w:t xml:space="preserve">ection </w:t>
      </w:r>
      <w:r w:rsidR="00725D52" w:rsidRPr="00423F80">
        <w:rPr>
          <w:sz w:val="22"/>
          <w:szCs w:val="22"/>
          <w:lang w:val="en-GB"/>
        </w:rPr>
        <w:t>2.6.10.1.</w:t>
      </w:r>
      <w:r w:rsidRPr="00423F80">
        <w:rPr>
          <w:sz w:val="22"/>
          <w:szCs w:val="22"/>
          <w:lang w:val="en-GB"/>
        </w:rPr>
        <w:t xml:space="preserve"> of the </w:t>
      </w:r>
      <w:r w:rsidR="00725D52" w:rsidRPr="00423F80">
        <w:rPr>
          <w:sz w:val="22"/>
          <w:szCs w:val="22"/>
          <w:lang w:val="en-GB"/>
        </w:rPr>
        <w:t>p</w:t>
      </w:r>
      <w:r w:rsidRPr="00423F80">
        <w:rPr>
          <w:sz w:val="22"/>
          <w:szCs w:val="22"/>
          <w:lang w:val="en-GB"/>
        </w:rPr>
        <w:t xml:space="preserve">ractical </w:t>
      </w:r>
      <w:r w:rsidR="00725D52" w:rsidRPr="00423F80">
        <w:rPr>
          <w:sz w:val="22"/>
          <w:szCs w:val="22"/>
          <w:lang w:val="en-GB"/>
        </w:rPr>
        <w:t>g</w:t>
      </w:r>
      <w:r w:rsidRPr="00423F80">
        <w:rPr>
          <w:sz w:val="22"/>
          <w:szCs w:val="22"/>
          <w:lang w:val="en-GB"/>
        </w:rPr>
        <w:t>uide. The declarations must cover all the members of a joint venture/consortium. Tenderers guilty of making false declarations may also incur financial penalties</w:t>
      </w:r>
      <w:r w:rsidR="0040130C" w:rsidRPr="00423F80">
        <w:rPr>
          <w:sz w:val="22"/>
          <w:szCs w:val="22"/>
          <w:lang w:val="en-GB"/>
        </w:rPr>
        <w:t xml:space="preserve"> up to 10% of the value of the contract</w:t>
      </w:r>
      <w:r w:rsidRPr="00423F80">
        <w:rPr>
          <w:sz w:val="22"/>
          <w:szCs w:val="22"/>
          <w:lang w:val="en-GB"/>
        </w:rPr>
        <w:t xml:space="preserve"> and exclusion in accordance with </w:t>
      </w:r>
      <w:r w:rsidR="0040130C" w:rsidRPr="00423F80">
        <w:rPr>
          <w:sz w:val="22"/>
          <w:szCs w:val="22"/>
          <w:lang w:val="en-GB"/>
        </w:rPr>
        <w:t>the Financial Regulation in force</w:t>
      </w:r>
      <w:r w:rsidRPr="00423F80">
        <w:rPr>
          <w:sz w:val="22"/>
          <w:szCs w:val="22"/>
          <w:lang w:val="en-GB"/>
        </w:rPr>
        <w:t>.</w:t>
      </w:r>
    </w:p>
    <w:p w14:paraId="6C88B0EC" w14:textId="77777777" w:rsidR="003720EC" w:rsidRDefault="003720EC" w:rsidP="0076200F">
      <w:pPr>
        <w:keepNext/>
        <w:keepLines/>
        <w:ind w:left="709"/>
        <w:jc w:val="both"/>
        <w:rPr>
          <w:sz w:val="22"/>
          <w:szCs w:val="22"/>
          <w:lang w:val="en-GB"/>
        </w:rPr>
      </w:pPr>
      <w:r w:rsidRPr="003720EC">
        <w:rPr>
          <w:sz w:val="22"/>
          <w:szCs w:val="22"/>
          <w:lang w:val="en-GB"/>
        </w:rPr>
        <w:lastRenderedPageBreak/>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52F842D9"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19295514"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61B1965D"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74E24D2A" w14:textId="77777777" w:rsidR="002139C6" w:rsidRPr="00DD2F41" w:rsidRDefault="00F849D5" w:rsidP="0076200F">
      <w:pPr>
        <w:keepNext/>
        <w:keepLines/>
        <w:jc w:val="both"/>
        <w:rPr>
          <w:sz w:val="22"/>
          <w:szCs w:val="22"/>
          <w:lang w:val="en-GB"/>
        </w:rPr>
      </w:pPr>
      <w:r>
        <w:rPr>
          <w:snapToGrid/>
          <w:sz w:val="22"/>
          <w:szCs w:val="22"/>
          <w:lang w:val="en-GB"/>
        </w:rPr>
        <w:pict w14:anchorId="2316C595">
          <v:line id="_x0000_s1027" alt="" style="position:absolute;left:0;text-align:left;z-index:1;mso-wrap-edited:f;mso-width-percent:0;mso-height-percent:0;mso-width-percent:0;mso-height-percent:0" from="0,12pt" to="468pt,12.05pt" o:allowincell="f" strokecolor="#d4d4d4" strokeweight="1.75pt">
            <v:shadow on="t" origin=",32385f" offset="0,-1pt"/>
          </v:line>
        </w:pict>
      </w:r>
    </w:p>
    <w:p w14:paraId="28B74D3A"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1B1A8569"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637CD0BA"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466069A1"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1D048AED" w14:textId="77777777"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14:paraId="3D2923BB" w14:textId="22818327" w:rsidR="002B0469" w:rsidRPr="009625CB" w:rsidRDefault="002B0469" w:rsidP="008D2818">
      <w:pPr>
        <w:ind w:left="1134" w:hanging="284"/>
        <w:jc w:val="both"/>
        <w:rPr>
          <w:sz w:val="22"/>
          <w:lang w:val="en-GB"/>
        </w:rPr>
      </w:pPr>
      <w:r w:rsidRPr="009625CB">
        <w:rPr>
          <w:b/>
          <w:sz w:val="22"/>
          <w:lang w:val="en-GB"/>
        </w:rPr>
        <w:t>-</w:t>
      </w:r>
      <w:r w:rsidRPr="009625CB">
        <w:rPr>
          <w:b/>
          <w:sz w:val="22"/>
          <w:lang w:val="en-GB"/>
        </w:rPr>
        <w:tab/>
      </w:r>
      <w:r w:rsidRPr="009625CB">
        <w:rPr>
          <w:sz w:val="22"/>
          <w:lang w:val="en-GB"/>
        </w:rPr>
        <w:t xml:space="preserve">the average annual turnover of the tenderer in the past 3 years must be at least </w:t>
      </w:r>
      <w:r w:rsidR="009625CB" w:rsidRPr="009625CB">
        <w:rPr>
          <w:sz w:val="22"/>
          <w:lang w:val="en-GB"/>
        </w:rPr>
        <w:t>360 000 BGN.</w:t>
      </w:r>
      <w:r w:rsidR="00B3535B" w:rsidRPr="009625CB">
        <w:rPr>
          <w:sz w:val="22"/>
          <w:lang w:val="en-GB"/>
        </w:rPr>
        <w:t xml:space="preserve"> </w:t>
      </w:r>
      <w:r w:rsidR="00B3535B" w:rsidRPr="009625CB">
        <w:rPr>
          <w:sz w:val="22"/>
          <w:lang w:val="en-GB"/>
        </w:rPr>
        <w:tab/>
        <w:t xml:space="preserve"> </w:t>
      </w:r>
    </w:p>
    <w:p w14:paraId="07C5E3B2"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623FBE9C" w14:textId="7E20C7C2" w:rsidR="002B0469" w:rsidRPr="00B51C2C" w:rsidRDefault="002B0469" w:rsidP="008D2818">
      <w:pPr>
        <w:ind w:left="1134" w:hanging="284"/>
        <w:jc w:val="both"/>
        <w:rPr>
          <w:sz w:val="22"/>
          <w:lang w:val="en-GB"/>
        </w:rPr>
      </w:pPr>
      <w:r w:rsidRPr="00B51C2C">
        <w:rPr>
          <w:b/>
          <w:sz w:val="22"/>
          <w:lang w:val="en-GB"/>
        </w:rPr>
        <w:t>-</w:t>
      </w:r>
      <w:r w:rsidRPr="00B51C2C">
        <w:rPr>
          <w:b/>
          <w:sz w:val="22"/>
          <w:lang w:val="en-GB"/>
        </w:rPr>
        <w:tab/>
      </w:r>
      <w:r w:rsidRPr="00B51C2C">
        <w:rPr>
          <w:sz w:val="22"/>
          <w:lang w:val="en-GB"/>
        </w:rPr>
        <w:t xml:space="preserve">it must have completed at least </w:t>
      </w:r>
      <w:r w:rsidR="00B51C2C" w:rsidRPr="00B51C2C">
        <w:rPr>
          <w:sz w:val="22"/>
          <w:lang w:val="en-GB"/>
        </w:rPr>
        <w:t>1</w:t>
      </w:r>
      <w:r w:rsidRPr="00B51C2C">
        <w:rPr>
          <w:sz w:val="22"/>
          <w:lang w:val="en-GB"/>
        </w:rPr>
        <w:t xml:space="preserve"> project of the same nature/amount/complexity as the works </w:t>
      </w:r>
      <w:r w:rsidRPr="00B51C2C">
        <w:rPr>
          <w:b/>
          <w:sz w:val="22"/>
          <w:lang w:val="en-GB"/>
        </w:rPr>
        <w:t>concerned</w:t>
      </w:r>
      <w:r w:rsidRPr="00B51C2C">
        <w:rPr>
          <w:sz w:val="22"/>
          <w:lang w:val="en-GB"/>
        </w:rPr>
        <w:t xml:space="preserve"> by the tender and implemented during the following period: </w:t>
      </w:r>
      <w:r w:rsidR="00647BCC" w:rsidRPr="00B51C2C">
        <w:rPr>
          <w:sz w:val="22"/>
          <w:lang w:val="en-GB"/>
        </w:rPr>
        <w:t>5</w:t>
      </w:r>
      <w:r w:rsidR="000D65F3" w:rsidRPr="00B51C2C">
        <w:rPr>
          <w:sz w:val="22"/>
          <w:lang w:val="en-GB"/>
        </w:rPr>
        <w:t xml:space="preserve"> years counting from the submission deadline</w:t>
      </w:r>
      <w:r w:rsidRPr="00B51C2C">
        <w:rPr>
          <w:sz w:val="22"/>
          <w:lang w:val="en-GB"/>
        </w:rPr>
        <w:t xml:space="preserve">. The </w:t>
      </w:r>
      <w:r w:rsidR="00C43C3C" w:rsidRPr="00B51C2C">
        <w:rPr>
          <w:sz w:val="22"/>
          <w:lang w:val="en-GB"/>
        </w:rPr>
        <w:t>c</w:t>
      </w:r>
      <w:r w:rsidRPr="00B51C2C">
        <w:rPr>
          <w:sz w:val="22"/>
          <w:lang w:val="en-GB"/>
        </w:rPr>
        <w:t xml:space="preserve">ontracting </w:t>
      </w:r>
      <w:r w:rsidR="00C43C3C" w:rsidRPr="00B51C2C">
        <w:rPr>
          <w:sz w:val="22"/>
          <w:lang w:val="en-GB"/>
        </w:rPr>
        <w:t>a</w:t>
      </w:r>
      <w:r w:rsidRPr="00B51C2C">
        <w:rPr>
          <w:sz w:val="22"/>
          <w:lang w:val="en-GB"/>
        </w:rPr>
        <w:t>uthority reserves the right to ask for copies of certificates of final acceptance signed by the supervisors/contracting authority of the projects concerned.</w:t>
      </w:r>
    </w:p>
    <w:p w14:paraId="428043F5" w14:textId="77777777" w:rsidR="00833DA6" w:rsidRPr="00BB32C7" w:rsidRDefault="00833DA6" w:rsidP="00833DA6">
      <w:pPr>
        <w:ind w:left="1134" w:hanging="284"/>
        <w:jc w:val="both"/>
        <w:rPr>
          <w:sz w:val="22"/>
          <w:u w:val="single"/>
          <w:lang w:val="en-GB"/>
        </w:rPr>
      </w:pPr>
      <w:r w:rsidRPr="00BB32C7">
        <w:rPr>
          <w:sz w:val="22"/>
          <w:u w:val="single"/>
          <w:lang w:val="en-GB"/>
        </w:rPr>
        <w:t>Capacity-providing entities:</w:t>
      </w:r>
    </w:p>
    <w:p w14:paraId="4DBBED50" w14:textId="77777777"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3D8BF1B3" w14:textId="77777777" w:rsidR="00833DA6" w:rsidRPr="00833DA6" w:rsidRDefault="00833DA6" w:rsidP="00833DA6">
      <w:pPr>
        <w:ind w:left="1134" w:hanging="284"/>
        <w:jc w:val="both"/>
        <w:rPr>
          <w:sz w:val="22"/>
          <w:lang w:val="en-GB"/>
        </w:rPr>
      </w:pPr>
      <w:r w:rsidRPr="00833DA6">
        <w:rPr>
          <w:sz w:val="22"/>
          <w:lang w:val="en-GB"/>
        </w:rPr>
        <w:t xml:space="preserve">With regard to technical and professional criteria, a tenderer may only rely on the capacities of </w:t>
      </w:r>
      <w:r w:rsidRPr="00833DA6">
        <w:rPr>
          <w:sz w:val="22"/>
          <w:lang w:val="en-GB"/>
        </w:rPr>
        <w:lastRenderedPageBreak/>
        <w:t>other entities where the latter will perform the works for which these capacities are required.</w:t>
      </w:r>
    </w:p>
    <w:p w14:paraId="3CC43F7D" w14:textId="77777777"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4FC4619F" w14:textId="4A9A1752" w:rsidR="008A0A49" w:rsidRPr="009625CB" w:rsidRDefault="008A0A49" w:rsidP="009625CB">
      <w:pPr>
        <w:widowControl/>
        <w:snapToGrid w:val="0"/>
        <w:spacing w:after="0"/>
        <w:ind w:left="644" w:right="4"/>
        <w:jc w:val="both"/>
        <w:rPr>
          <w:sz w:val="22"/>
          <w:szCs w:val="18"/>
          <w:lang w:val="en-GB"/>
        </w:rPr>
      </w:pPr>
      <w:r w:rsidRPr="009625CB">
        <w:rPr>
          <w:sz w:val="22"/>
          <w:szCs w:val="18"/>
          <w:lang w:val="en-GB"/>
        </w:rPr>
        <w:t xml:space="preserve">Financial data to be provided by the tenderer in relation to the selection criteria must be expressed in </w:t>
      </w:r>
      <w:r w:rsidR="00B51C2C" w:rsidRPr="009625CB">
        <w:rPr>
          <w:sz w:val="22"/>
          <w:szCs w:val="18"/>
          <w:lang w:val="en-GB"/>
        </w:rPr>
        <w:t>BGN</w:t>
      </w:r>
      <w:r w:rsidRPr="009625CB">
        <w:rPr>
          <w:sz w:val="22"/>
          <w:szCs w:val="18"/>
          <w:lang w:val="en-GB"/>
        </w:rPr>
        <w:t xml:space="preserve">. If applicable, where a candidate refers to amounts originally expressed in a different currency, the conversion to </w:t>
      </w:r>
      <w:r w:rsidR="00B51C2C" w:rsidRPr="009625CB">
        <w:rPr>
          <w:sz w:val="22"/>
          <w:szCs w:val="18"/>
          <w:lang w:val="en-GB"/>
        </w:rPr>
        <w:t>BGN</w:t>
      </w:r>
      <w:r w:rsidRPr="009625CB">
        <w:rPr>
          <w:sz w:val="22"/>
          <w:szCs w:val="18"/>
          <w:lang w:val="en-GB"/>
        </w:rPr>
        <w:t xml:space="preserve"> shall be made in accordance with the </w:t>
      </w:r>
      <w:proofErr w:type="spellStart"/>
      <w:r w:rsidRPr="009625CB">
        <w:rPr>
          <w:sz w:val="22"/>
          <w:szCs w:val="18"/>
          <w:lang w:val="en-GB"/>
        </w:rPr>
        <w:t>InforEuro</w:t>
      </w:r>
      <w:proofErr w:type="spellEnd"/>
      <w:r w:rsidRPr="009625CB">
        <w:rPr>
          <w:sz w:val="22"/>
          <w:szCs w:val="18"/>
          <w:lang w:val="en-GB"/>
        </w:rPr>
        <w:t xml:space="preserve"> exchange rate of </w:t>
      </w:r>
      <w:r w:rsidR="00B51C2C" w:rsidRPr="009625CB">
        <w:rPr>
          <w:sz w:val="22"/>
          <w:szCs w:val="18"/>
          <w:lang w:val="en-GB"/>
        </w:rPr>
        <w:t>January 2020</w:t>
      </w:r>
      <w:r w:rsidRPr="009625CB">
        <w:rPr>
          <w:sz w:val="22"/>
          <w:szCs w:val="18"/>
          <w:lang w:val="en-GB"/>
        </w:rPr>
        <w:t xml:space="preserve">, which can be found at the following address: </w:t>
      </w:r>
      <w:hyperlink r:id="rId8" w:history="1">
        <w:r w:rsidRPr="009625CB">
          <w:rPr>
            <w:rStyle w:val="Hyperlink"/>
            <w:sz w:val="22"/>
            <w:szCs w:val="18"/>
            <w:lang w:val="en-GB"/>
          </w:rPr>
          <w:t>http://ec.europa.eu/budget/graphs/inforeuro.html</w:t>
        </w:r>
      </w:hyperlink>
      <w:r w:rsidRPr="009625CB">
        <w:rPr>
          <w:sz w:val="22"/>
          <w:szCs w:val="18"/>
          <w:lang w:val="en-GB"/>
        </w:rPr>
        <w:t>.</w:t>
      </w:r>
    </w:p>
    <w:p w14:paraId="3BE1E7FB" w14:textId="77777777" w:rsidR="00833DA6" w:rsidRDefault="00833DA6" w:rsidP="008D2818">
      <w:pPr>
        <w:ind w:left="1134" w:hanging="284"/>
        <w:jc w:val="both"/>
        <w:rPr>
          <w:sz w:val="22"/>
          <w:highlight w:val="yellow"/>
          <w:lang w:val="en-GB"/>
        </w:rPr>
      </w:pPr>
    </w:p>
    <w:p w14:paraId="648D4C24"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1BAEF79E"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116B5A83" w14:textId="77777777" w:rsidR="002139C6" w:rsidRPr="00DD2F41" w:rsidRDefault="00F849D5" w:rsidP="0076200F">
      <w:pPr>
        <w:jc w:val="both"/>
        <w:rPr>
          <w:sz w:val="22"/>
          <w:szCs w:val="22"/>
          <w:lang w:val="en-GB"/>
        </w:rPr>
      </w:pPr>
      <w:r>
        <w:rPr>
          <w:snapToGrid/>
          <w:sz w:val="22"/>
          <w:szCs w:val="22"/>
          <w:lang w:val="en-GB"/>
        </w:rPr>
        <w:pict w14:anchorId="3BA6AEA2">
          <v:line id="_x0000_s1026" alt="" style="position:absolute;left:0;text-align:left;z-index:2;mso-wrap-edited:f;mso-width-percent:0;mso-height-percent:0;mso-width-percent:0;mso-height-percent:0" from="0,12pt" to="468pt,12.05pt" o:allowincell="f" strokecolor="#d4d4d4" strokeweight="1.75pt">
            <v:shadow on="t" origin=",32385f" offset="0,-1pt"/>
          </v:line>
        </w:pict>
      </w:r>
    </w:p>
    <w:p w14:paraId="5E7C17D9"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59ABCBE1"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2EB94DBB"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15E7D45B"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79CA5D3B" w14:textId="756F4E71" w:rsidR="000158F3" w:rsidRPr="004C69BC" w:rsidRDefault="000158F3" w:rsidP="0076200F">
      <w:pPr>
        <w:pStyle w:val="PRAGHeading2"/>
        <w:numPr>
          <w:ilvl w:val="0"/>
          <w:numId w:val="0"/>
        </w:numPr>
        <w:ind w:left="709"/>
        <w:jc w:val="both"/>
        <w:rPr>
          <w:sz w:val="22"/>
          <w:szCs w:val="22"/>
          <w:lang w:val="en-GB"/>
        </w:rPr>
      </w:pPr>
      <w:r w:rsidRPr="009625CB">
        <w:rPr>
          <w:sz w:val="22"/>
          <w:szCs w:val="22"/>
          <w:lang w:val="en-GB"/>
        </w:rPr>
        <w:t>Regulation</w:t>
      </w:r>
      <w:r w:rsidRPr="009625CB">
        <w:rPr>
          <w:b/>
          <w:bCs/>
          <w:sz w:val="22"/>
          <w:szCs w:val="22"/>
          <w:lang w:val="en-GB"/>
        </w:rPr>
        <w:t xml:space="preserve"> </w:t>
      </w:r>
      <w:r w:rsidRPr="009625CB">
        <w:rPr>
          <w:sz w:val="22"/>
          <w:szCs w:val="22"/>
          <w:lang w:val="en-GB"/>
        </w:rPr>
        <w:t xml:space="preserve">(EU) </w:t>
      </w:r>
      <w:r w:rsidR="00C43C3C" w:rsidRPr="009625CB">
        <w:rPr>
          <w:sz w:val="22"/>
          <w:szCs w:val="22"/>
          <w:lang w:val="en-GB"/>
        </w:rPr>
        <w:t>No </w:t>
      </w:r>
      <w:r w:rsidRPr="009625CB">
        <w:rPr>
          <w:sz w:val="22"/>
          <w:szCs w:val="22"/>
          <w:lang w:val="en-GB" w:eastAsia="ja-JP"/>
        </w:rPr>
        <w:t>236/2014 of the European Parliament and of the Council of 11 March 2014 laying down common rules and procedures for the implementation of the Union's instruments for financing external action</w:t>
      </w:r>
      <w:r w:rsidR="009625CB" w:rsidRPr="009625CB">
        <w:rPr>
          <w:sz w:val="22"/>
          <w:szCs w:val="22"/>
          <w:lang w:val="en-GB" w:eastAsia="ja-JP"/>
        </w:rPr>
        <w:t>.</w:t>
      </w:r>
    </w:p>
    <w:p w14:paraId="4F880F51"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31C0749D"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sectPr w:rsidR="003C3139"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ECBF9" w14:textId="77777777" w:rsidR="00F849D5" w:rsidRDefault="00F849D5">
      <w:r>
        <w:separator/>
      </w:r>
    </w:p>
  </w:endnote>
  <w:endnote w:type="continuationSeparator" w:id="0">
    <w:p w14:paraId="65F3C398" w14:textId="77777777" w:rsidR="00F849D5" w:rsidRDefault="00F8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Bold">
    <w:panose1 w:val="02020803070505020304"/>
    <w:charset w:val="00"/>
    <w:family w:val="roman"/>
    <w:pitch w:val="variable"/>
    <w:sig w:usb0="E0002AEF" w:usb1="C0007841"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70B5" w14:textId="77777777" w:rsidR="0025570B" w:rsidRDefault="00255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C8DED" w14:textId="77777777"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BB32C7">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BB32C7">
      <w:rPr>
        <w:rStyle w:val="PageNumber"/>
        <w:noProof/>
        <w:sz w:val="18"/>
        <w:szCs w:val="18"/>
        <w:lang w:val="en-GB"/>
      </w:rPr>
      <w:t>1</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BB32C7">
      <w:rPr>
        <w:rStyle w:val="PageNumber"/>
        <w:noProof/>
        <w:sz w:val="18"/>
        <w:szCs w:val="18"/>
        <w:lang w:val="en-GB"/>
      </w:rPr>
      <w:t>7</w:t>
    </w:r>
    <w:r w:rsidR="00B640CA" w:rsidRPr="009B4A52">
      <w:rPr>
        <w:rStyle w:val="PageNumber"/>
        <w:sz w:val="18"/>
        <w:szCs w:val="18"/>
      </w:rPr>
      <w:fldChar w:fldCharType="end"/>
    </w:r>
  </w:p>
  <w:p w14:paraId="68ADA2C6"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C04EF" w14:textId="77777777" w:rsidR="0025570B" w:rsidRDefault="00255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A69AF" w14:textId="77777777" w:rsidR="00F849D5" w:rsidRDefault="00F849D5">
      <w:r>
        <w:separator/>
      </w:r>
    </w:p>
  </w:footnote>
  <w:footnote w:type="continuationSeparator" w:id="0">
    <w:p w14:paraId="2DE4C6B1" w14:textId="77777777" w:rsidR="00F849D5" w:rsidRDefault="00F849D5">
      <w:r>
        <w:continuationSeparator/>
      </w:r>
    </w:p>
  </w:footnote>
  <w:footnote w:id="1">
    <w:p w14:paraId="3D6E5905"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996F6" w14:textId="77777777" w:rsidR="0025570B" w:rsidRDefault="00255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D9F87" w14:textId="77777777" w:rsidR="0025570B" w:rsidRDefault="002557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49A0A" w14:textId="77777777" w:rsidR="0025570B" w:rsidRDefault="002557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FAB"/>
    <w:rsid w:val="00096962"/>
    <w:rsid w:val="000B5CA1"/>
    <w:rsid w:val="000D17E3"/>
    <w:rsid w:val="000D65F3"/>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39C6"/>
    <w:rsid w:val="00226910"/>
    <w:rsid w:val="00240E69"/>
    <w:rsid w:val="0025570B"/>
    <w:rsid w:val="002622DE"/>
    <w:rsid w:val="002654E1"/>
    <w:rsid w:val="00272709"/>
    <w:rsid w:val="00276D41"/>
    <w:rsid w:val="00283DDC"/>
    <w:rsid w:val="0029420A"/>
    <w:rsid w:val="002A0F9A"/>
    <w:rsid w:val="002A77F2"/>
    <w:rsid w:val="002A7B14"/>
    <w:rsid w:val="002B0469"/>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3D66"/>
    <w:rsid w:val="00391F9F"/>
    <w:rsid w:val="003923FE"/>
    <w:rsid w:val="003A2491"/>
    <w:rsid w:val="003A4D10"/>
    <w:rsid w:val="003A51DF"/>
    <w:rsid w:val="003B2B49"/>
    <w:rsid w:val="003B7B6F"/>
    <w:rsid w:val="003C3139"/>
    <w:rsid w:val="003E27E0"/>
    <w:rsid w:val="003E5E93"/>
    <w:rsid w:val="0040130C"/>
    <w:rsid w:val="00405ED1"/>
    <w:rsid w:val="00423F80"/>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501D"/>
    <w:rsid w:val="008D1D32"/>
    <w:rsid w:val="008D2818"/>
    <w:rsid w:val="008D70D4"/>
    <w:rsid w:val="008E1A09"/>
    <w:rsid w:val="009006A8"/>
    <w:rsid w:val="0090169E"/>
    <w:rsid w:val="009067EA"/>
    <w:rsid w:val="00921394"/>
    <w:rsid w:val="00944E53"/>
    <w:rsid w:val="009625CB"/>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1C2C"/>
    <w:rsid w:val="00B52B1C"/>
    <w:rsid w:val="00B640CA"/>
    <w:rsid w:val="00B7405D"/>
    <w:rsid w:val="00B76C69"/>
    <w:rsid w:val="00B83745"/>
    <w:rsid w:val="00B853C8"/>
    <w:rsid w:val="00B85525"/>
    <w:rsid w:val="00B912C2"/>
    <w:rsid w:val="00B95EFC"/>
    <w:rsid w:val="00BA0AC6"/>
    <w:rsid w:val="00BB32C7"/>
    <w:rsid w:val="00BC23AA"/>
    <w:rsid w:val="00BC6046"/>
    <w:rsid w:val="00BD11C0"/>
    <w:rsid w:val="00BD3B9D"/>
    <w:rsid w:val="00BD63A4"/>
    <w:rsid w:val="00BE3363"/>
    <w:rsid w:val="00BE73F2"/>
    <w:rsid w:val="00C038FD"/>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EC2"/>
    <w:rsid w:val="00E1672F"/>
    <w:rsid w:val="00E17B77"/>
    <w:rsid w:val="00E2178D"/>
    <w:rsid w:val="00E46E18"/>
    <w:rsid w:val="00E53CBF"/>
    <w:rsid w:val="00E56703"/>
    <w:rsid w:val="00E602C7"/>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849D5"/>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94272"/>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21394"/>
    <w:pPr>
      <w:widowControl w:val="0"/>
      <w:spacing w:before="100" w:after="100"/>
    </w:pPr>
    <w:rPr>
      <w:snapToGrid w:val="0"/>
      <w:sz w:val="24"/>
      <w:lang w:val="fr-FR"/>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442AF-FDF8-594B-924F-1E8873208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7901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Веселина Георгиева</cp:lastModifiedBy>
  <cp:revision>13</cp:revision>
  <cp:lastPrinted>2006-01-25T10:58:00Z</cp:lastPrinted>
  <dcterms:created xsi:type="dcterms:W3CDTF">2018-12-18T13:17:00Z</dcterms:created>
  <dcterms:modified xsi:type="dcterms:W3CDTF">2020-02-19T13:12:00Z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